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54A0" w:rsidRDefault="00AA54A0">
      <w:pPr>
        <w:rPr>
          <w:rtl/>
        </w:rPr>
      </w:pPr>
    </w:p>
    <w:p w:rsidR="00AA54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5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851" inset="0,0,0,0">
              <w:txbxContent>
                <w:p w:rsidR="007174E6" w:rsidRDefault="007174E6">
                  <w:r>
                    <w:rPr>
                      <w:rtl/>
                    </w:rPr>
                    <w:t>253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2" o:spid="_x0000_s1026" type="#_x0000_t202" style="position:absolute;left:0;text-align:left;margin-left:133.75pt;margin-top:671.5pt;width:424.9pt;height:116.25pt;z-index:4;mso-position-horizontal-relative:page;mso-position-vertical-relative:page" stroked="f">
            <v:textbox style="mso-next-textbox:#_x0000_s15852" inset="0,0,0,0">
              <w:txbxContent>
                <w:p w:rsidR="007174E6" w:rsidRDefault="007174E6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בסיון תשי"ב (23 ביוני 1952); הצעת החוק ודברי הסבר נתפרסמו בהצעות</w:t>
                  </w:r>
                </w:p>
                <w:p w:rsidR="007174E6" w:rsidRDefault="007174E6">
                  <w:pPr>
                    <w:pStyle w:val="OCRStyle1"/>
                    <w:ind w:left="7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119 מיום ד' בסיון תשי"ב (28.5.52), עמי 242.</w:t>
                  </w:r>
                </w:p>
                <w:p w:rsidR="007174E6" w:rsidRDefault="007174E6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262, מיום כ"ח בניסן תשי"ב (20.4.52), עט' 764.</w:t>
                  </w:r>
                </w:p>
                <w:p w:rsidR="007174E6" w:rsidRDefault="007174E6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** נחקבל בכנסת ביום א' בתמוז תשי"ב (24 ביוני 1952); הצעת החוק ודברי הסבר נתפרסמו בהצעות</w:t>
                  </w:r>
                </w:p>
                <w:p w:rsidR="007174E6" w:rsidRDefault="007174E6">
                  <w:pPr>
                    <w:pStyle w:val="OCRStyle1"/>
                    <w:ind w:left="7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121 מיום כ"ב בסיון תשי"ב (15.6.52), עמ'250.</w:t>
                  </w:r>
                </w:p>
                <w:p w:rsidR="007174E6" w:rsidRPr="00AA54A0" w:rsidRDefault="007174E6">
                  <w:pPr>
                    <w:pStyle w:val="OCRStyle1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 מיום י"ח בשבט תש"ט (17.2.49),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3" o:spid="_x0000_s1027" type="#_x0000_t202" style="position:absolute;left:0;text-align:left;margin-left:86.4pt;margin-top:369.55pt;width:474.4pt;height:292.65pt;z-index:3;mso-position-horizontal-relative:page;mso-position-vertical-relative:page" stroked="f">
            <v:textbox style="mso-next-textbox:#_x0000_s158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7476"/>
                  </w:tblGrid>
                  <w:tr w:rsidR="007174E6" w:rsidRPr="00AA54A0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7174E6" w:rsidRPr="00AA54A0" w:rsidRDefault="007174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7174E6" w:rsidRPr="00AA54A0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המעבר, תש"ט-21949, יתוקן כך:</w:t>
                        </w:r>
                      </w:p>
                    </w:tc>
                  </w:tr>
                  <w:tr w:rsidR="007174E6" w:rsidRPr="00AA54A0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4" w:type="pct"/>
                      </w:tcPr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11 -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הממשלה' משהורכבה' תתייצב מיד לפני הכנסת, תמסור הודעה על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התפקידים בין חבריה, ותיכון לאחר שתקבל בכנסת הבעת אמון".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יבואו סעיפים קטנים אלה ;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נתפנה מקומו של שר בממשלה - בין לרגל התפטרותו מהממשלה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מכל סיבה אחרת - תמסור הממשלה הודעה על כך לפני הכנסת.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הממשלה על צירוף חבר נוסף לממשלה' תמסור הודעה על כך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הכנסת' והחבר הנוסף ייכנס לתפקידו עם אישור ההודעה על ידי הכנסת.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 מיום אישור ההודעה יקרא ויחתום החבר הנוסף בפני הכנסת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הצהרה' כאמור בסעיף קטן (ב); אך אם נבצר ממנו' לרגל שהותו בחוץ-לארץ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לרגל מניעה אחרת' להצהיר תוך המועד האמור - יקרא ויחתום את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תוך שבעה ימים מיום שחדלה המניעה.</w:t>
                        </w:r>
                      </w:p>
                      <w:p w:rsidR="007174E6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החליטה הממשלה על שינויים בחלוקת התפקידים בין חבריה/ תמסור</w:t>
                        </w:r>
                      </w:p>
                      <w:p w:rsidR="007174E6" w:rsidRPr="00AA54A0" w:rsidRDefault="007174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לפני הכנסת."</w:t>
                        </w:r>
                      </w:p>
                    </w:tc>
                  </w:tr>
                </w:tbl>
                <w:p w:rsidR="007174E6" w:rsidRDefault="007174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54" o:spid="_x0000_s1028" type="#_x0000_t202" style="position:absolute;left:0;text-align:left;margin-left:86.4pt;margin-top:324pt;width:67.7pt;height:25.75pt;z-index:2;mso-position-horizontal-relative:page;mso-position-vertical-relative:page" stroked="f">
            <v:textbox style="mso-next-textbox:#_x0000_s15854" inset="0,0,0,0">
              <w:txbxContent>
                <w:p w:rsidR="007174E6" w:rsidRDefault="007174E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5" o:spid="_x0000_s1029" type="#_x0000_t202" style="position:absolute;left:0;text-align:left;margin-left:212.15pt;margin-top:336.85pt;width:277.8pt;height:30.1pt;z-index:1;mso-position-horizontal-relative:page;mso-position-vertical-relative:page" stroked="f">
            <v:textbox style="mso-next-textbox:#_x0000_s15855" inset="0,0,0,0">
              <w:txbxContent>
                <w:p w:rsidR="007174E6" w:rsidRPr="00AA54A0" w:rsidRDefault="007174E6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(תיקון מס' 2), תשי"ב- 1952 **</w:t>
                  </w:r>
                </w:p>
              </w:txbxContent>
            </v:textbox>
            <w10:wrap anchorx="page" anchory="page"/>
          </v:shape>
        </w:pict>
      </w:r>
    </w:p>
    <w:p w:rsidR="007174E6" w:rsidRDefault="007174E6">
      <w:pPr>
        <w:rPr>
          <w:rtl/>
        </w:rPr>
      </w:pPr>
      <w:r>
        <w:rPr>
          <w:rtl/>
        </w:rPr>
        <w:br w:type="page"/>
      </w:r>
    </w:p>
    <w:p w:rsidR="007174E6" w:rsidRDefault="00000000">
      <w:pPr>
        <w:rPr>
          <w:rtl/>
        </w:rPr>
      </w:pPr>
      <w:r>
        <w:pict>
          <v:shape id="_x0000_s15856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856" inset="0,0,0,0">
              <w:txbxContent>
                <w:p w:rsidR="007174E6" w:rsidRDefault="007174E6">
                  <w:r>
                    <w:rPr>
                      <w:rtl/>
                    </w:rPr>
                    <w:t>254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7" o:spid="_x0000_s1031" type="#_x0000_t202" style="position:absolute;left:0;text-align:left;margin-left:86.75pt;margin-top:725.2pt;width:186.1pt;height:61.2pt;z-index:9;mso-position-horizontal-relative:page;mso-position-vertical-relative:page" stroked="f">
            <v:textbox style="mso-next-textbox:#_x0000_s15857" inset="0,0,0,0">
              <w:txbxContent>
                <w:p w:rsidR="007174E6" w:rsidRDefault="007174E6">
                  <w:pPr>
                    <w:pStyle w:val="OCRStyle2"/>
                    <w:rPr>
                      <w:rtl/>
                    </w:rPr>
                  </w:pPr>
                </w:p>
                <w:p w:rsidR="007174E6" w:rsidRDefault="007174E6">
                  <w:pPr>
                    <w:pStyle w:val="OCRStyle2"/>
                    <w:ind w:left="1289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8" o:spid="_x0000_s1032" type="#_x0000_t202" style="position:absolute;left:0;text-align:left;margin-left:94.3pt;margin-top:168.8pt;width:114.45pt;height:41.6pt;z-index:8;mso-position-horizontal-relative:page;mso-position-vertical-relative:page" stroked="f">
            <v:textbox style="mso-next-textbox:#_x0000_s15858" inset="0,0,0,0">
              <w:txbxContent>
                <w:p w:rsidR="007174E6" w:rsidRDefault="007174E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174E6" w:rsidRDefault="007174E6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9" o:spid="_x0000_s1033" type="#_x0000_t202" style="position:absolute;left:0;text-align:left;margin-left:348.9pt;margin-top:192.35pt;width:156.2pt;height:65.15pt;z-index:7;mso-position-horizontal-relative:page;mso-position-vertical-relative:page" stroked="f">
            <v:textbox style="mso-next-textbox:#_x0000_s15859" inset="0,0,0,0">
              <w:txbxContent>
                <w:p w:rsidR="007174E6" w:rsidRDefault="007174E6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174E6" w:rsidRDefault="007174E6">
                  <w:pPr>
                    <w:pStyle w:val="OCRStyle2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174E6" w:rsidRDefault="007174E6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0" o:spid="_x0000_s1034" type="#_x0000_t202" style="position:absolute;left:0;text-align:left;margin-left:85.75pt;margin-top:52pt;width:402.35pt;height:111.45pt;z-index:6;mso-position-horizontal-relative:page;mso-position-vertical-relative:page" stroked="f">
            <v:textbox style="mso-next-textbox:#_x0000_s15860" inset="0,0,0,0">
              <w:txbxContent>
                <w:p w:rsidR="007174E6" w:rsidRDefault="007174E6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(3) סעיף קטן (ג) יסומן כסעיף קטן (ו);</w:t>
                  </w:r>
                </w:p>
                <w:p w:rsidR="007174E6" w:rsidRDefault="007174E6">
                  <w:pPr>
                    <w:pStyle w:val="OCRStyle2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(4) סעיף קטן (ד) יסומן כסעיף קטן (ז), ובסופו תבוא פסקה זו ;</w:t>
                  </w:r>
                </w:p>
                <w:p w:rsidR="007174E6" w:rsidRDefault="007174E6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"הודיע ראש הממשלה לממשלה על התפטרותו, יהיה דין התפטרותו כדין</w:t>
                  </w:r>
                </w:p>
                <w:p w:rsidR="007174E6" w:rsidRDefault="007174E6">
                  <w:pPr>
                    <w:pStyle w:val="OCRStyle2"/>
                    <w:ind w:left="1343"/>
                  </w:pPr>
                  <w:r>
                    <w:rPr>
                      <w:rtl/>
                    </w:rPr>
                    <w:t>החלטת הממשלה על התפטרותה."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A54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BD8B33-D694-4A4C-8C44-19D83084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54A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74E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2008-04-06T18:33:00Z</dcterms:created>
  <dcterms:modified xsi:type="dcterms:W3CDTF">2008-04-06T18:33:00Z</dcterms:modified>
</cp:coreProperties>
</file>