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6131" w:rsidRDefault="008F6131">
      <w:pPr>
        <w:rPr>
          <w:rtl/>
        </w:rPr>
      </w:pPr>
    </w:p>
    <w:p w:rsidR="008F613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1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163" inset="0,0,0,0">
              <w:txbxContent>
                <w:p w:rsidR="008F6131" w:rsidRDefault="008F6131">
                  <w:r>
                    <w:rPr>
                      <w:rtl/>
                    </w:rPr>
                    <w:t>210                                          ספר החוקים 909                     ח' באב התשל"ח 11.08.1978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64" o:spid="_x0000_s1026" type="#_x0000_t202" style="position:absolute;left:0;text-align:left;margin-left:104pt;margin-top:399.2pt;width:382.55pt;height:41pt;z-index:6;mso-position-horizontal-relative:page;mso-position-vertical-relative:page" stroked="f">
            <v:textbox style="mso-next-textbox:#_x0000_s16164" inset="0,0,0,0">
              <w:txbxContent>
                <w:p w:rsidR="008F6131" w:rsidRDefault="008F613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כ'ח בתמוז תשל"ח (2 באוגוסט 1978); הצעת החוק ודביי הסבר פורסמו בה''ח 1355 ,תשל"ח,</w:t>
                  </w:r>
                </w:p>
                <w:p w:rsidR="008F6131" w:rsidRDefault="008F6131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280.</w:t>
                  </w:r>
                </w:p>
                <w:p w:rsidR="008F6131" w:rsidRPr="008F6131" w:rsidRDefault="008F6131">
                  <w:pPr>
                    <w:pStyle w:val="OCRStyle1"/>
                    <w:ind w:left="43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תשל''ח,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65" o:spid="_x0000_s1027" type="#_x0000_t202" style="position:absolute;left:0;text-align:left;margin-left:98.05pt;margin-top:319.8pt;width:111.1pt;height:45.95pt;z-index:5;mso-position-horizontal-relative:page;mso-position-vertical-relative:page" stroked="f">
            <v:textbox style="mso-next-textbox:#_x0000_s16165" inset="0,0,0,0">
              <w:txbxContent>
                <w:p w:rsidR="008F6131" w:rsidRDefault="008F6131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גדעון פת</w:t>
                  </w:r>
                </w:p>
                <w:p w:rsidR="008F6131" w:rsidRDefault="008F613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שר הבינוי והשיכון</w:t>
                  </w:r>
                </w:p>
                <w:p w:rsidR="008F6131" w:rsidRDefault="008F6131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66" o:spid="_x0000_s1028" type="#_x0000_t202" style="position:absolute;left:0;text-align:left;margin-left:250.1pt;margin-top:322.35pt;width:86.15pt;height:43.35pt;z-index:4;mso-position-horizontal-relative:page;mso-position-vertical-relative:page" stroked="f">
            <v:textbox style="mso-next-textbox:#_x0000_s16166" inset="0,0,0,0">
              <w:txbxContent>
                <w:p w:rsidR="008F6131" w:rsidRDefault="008F613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F6131" w:rsidRDefault="008F6131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67" o:spid="_x0000_s1029" type="#_x0000_t202" style="position:absolute;left:0;text-align:left;margin-left:390.5pt;margin-top:349.1pt;width:105.35pt;height:33.25pt;z-index:3;mso-position-horizontal-relative:page;mso-position-vertical-relative:page" stroked="f">
            <v:textbox style="mso-next-textbox:#_x0000_s16167" inset="0,0,0,0">
              <w:txbxContent>
                <w:p w:rsidR="008F6131" w:rsidRDefault="008F6131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יצחק גבון</w:t>
                  </w:r>
                </w:p>
                <w:p w:rsidR="008F6131" w:rsidRDefault="008F6131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68" o:spid="_x0000_s1030" type="#_x0000_t202" style="position:absolute;left:0;text-align:left;margin-left:101.4pt;margin-top:99.2pt;width:448.65pt;height:207.1pt;z-index:2;mso-position-horizontal-relative:page;mso-position-vertical-relative:page" stroked="f">
            <v:textbox style="mso-next-textbox:#_x0000_s1616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9"/>
                    <w:gridCol w:w="1199"/>
                  </w:tblGrid>
                  <w:tr w:rsidR="008F6131" w:rsidRPr="008F6131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F6131" w:rsidRDefault="008F613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31 לחוק הסדרים בעקבות ניוד המטבע, תשל"ח-11977, במקום פסקה (2)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והסיטה יבוא: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שילם את תמורת הטובין או חלקה לאחר היום הקובע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במטבע חוץ שנרכש אחרי היום הקובע, או שילם את תמורת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הטובין או חלקה באשראי במטבע חוץ שקיבל מבנק באישור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המפקח, לצורך רכישת הטובין, ושפרעונו לאחר היום הקובע,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היה לו כיום הקובע חוב במטבע חוץ שמקורו באשראי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מבנק באישור המפקח, לצורך רכישת הטובין, או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שמקורו בהארכת אשראי קודם שקיבל באישור המפקח,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שהאשראי לא הובא כחשבון לענין סעיף 26 :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ניתנה לגבי תשלום תמורת הטובין או האשראי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לשיפוי כשל שינוי בשער המטבע, -</w:t>
                        </w:r>
                      </w:p>
                      <w:p w:rsid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יחזיר לו המנהל את המכס ששילם כאמור, כולו או חלקו, כיחס</w:t>
                        </w:r>
                      </w:p>
                      <w:p w:rsidR="008F6131" w:rsidRPr="008F6131" w:rsidRDefault="008F61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ששולמה כאמור או החוב, לפי הענין, לתמורה כולה."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F6131" w:rsidRPr="008F6131" w:rsidRDefault="008F613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</w:tbl>
                <w:p w:rsidR="008F6131" w:rsidRDefault="008F61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69" o:spid="_x0000_s1031" type="#_x0000_t202" style="position:absolute;left:0;text-align:left;margin-left:127.35pt;margin-top:75.05pt;width:334.2pt;height:21.6pt;z-index:1;mso-position-horizontal-relative:page;mso-position-vertical-relative:page" stroked="f">
            <v:textbox style="mso-next-textbox:#_x0000_s16169" inset="0,0,0,0">
              <w:txbxContent>
                <w:p w:rsidR="008F6131" w:rsidRPr="008F6131" w:rsidRDefault="008F6131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הסדרים בעקבות ניוד המטבע (תיקון), תשל"ח--1978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613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F6F4F3-AD65-493D-9BD7-A98C54C1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613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2008-04-06T23:45:00Z</dcterms:created>
  <dcterms:modified xsi:type="dcterms:W3CDTF">2008-04-06T23:45:00Z</dcterms:modified>
</cp:coreProperties>
</file>