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6B27" w:rsidRDefault="00B86B27">
      <w:pPr>
        <w:rPr>
          <w:rtl/>
        </w:rPr>
      </w:pPr>
    </w:p>
    <w:p w:rsidR="00B86B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258" inset="0,0,0,0">
              <w:txbxContent>
                <w:p w:rsidR="00B86B27" w:rsidRDefault="00B86B27">
                  <w:r>
                    <w:rPr>
                      <w:rtl/>
                    </w:rPr>
                    <w:t>62                                           ספר החוקים 592                    ז' בניסן התש"ל 13.04.1970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9" o:spid="_x0000_s1026" type="#_x0000_t202" style="position:absolute;left:0;text-align:left;margin-left:94.3pt;margin-top:426.15pt;width:389.85pt;height:66.75pt;z-index:6;mso-wrap-style:none;mso-position-horizontal-relative:page;mso-position-vertical-relative:page" stroked="f">
            <v:textbox style="mso-next-textbox:#_x0000_s16259" inset="0,0,0,0">
              <w:txbxContent>
                <w:p w:rsidR="00B86B27" w:rsidRDefault="00B86B2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תש"ל (8 באפריל 1970); הצעת החוק ודברי הסבר פורסמו בה''ח 877, תש"ל,</w:t>
                  </w:r>
                </w:p>
                <w:p w:rsidR="00B86B27" w:rsidRDefault="00B86B27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110.</w:t>
                  </w:r>
                </w:p>
                <w:p w:rsidR="00B86B27" w:rsidRDefault="00B86B27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תשכ"ה, עמ' 270; תשכ"ז, עמ' 145; תשכ"ח, עמ' 28; תש"ל, עמ' 34.</w:t>
                  </w:r>
                </w:p>
                <w:p w:rsidR="00B86B27" w:rsidRPr="00B86B27" w:rsidRDefault="00B86B27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2509, תש"ל, עמ' 903.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0" o:spid="_x0000_s1027" type="#_x0000_t202" style="position:absolute;left:0;text-align:left;margin-left:97.45pt;margin-top:351.1pt;width:137.6pt;height:43.75pt;z-index:5;mso-wrap-style:none;mso-position-horizontal-relative:page;mso-position-vertical-relative:page" stroked="f">
            <v:textbox style="mso-next-textbox:#_x0000_s16260" inset="0,0,0,0">
              <w:txbxContent>
                <w:p w:rsidR="00B86B27" w:rsidRDefault="00B86B2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86B27" w:rsidRDefault="00B86B27">
                  <w:pPr>
                    <w:pStyle w:val="OCRStyle1"/>
                    <w:ind w:left="8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1" o:spid="_x0000_s1028" type="#_x0000_t202" style="position:absolute;left:0;text-align:left;margin-left:245.35pt;margin-top:354.3pt;width:86.55pt;height:37.4pt;z-index:4;mso-wrap-style:none;mso-position-horizontal-relative:page;mso-position-vertical-relative:page" stroked="f">
            <v:textbox style="mso-next-textbox:#_x0000_s16261" inset="0,0,0,0">
              <w:txbxContent>
                <w:p w:rsidR="00B86B27" w:rsidRDefault="00B86B2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86B27" w:rsidRDefault="00B86B2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2" o:spid="_x0000_s1029" type="#_x0000_t202" style="position:absolute;left:0;text-align:left;margin-left:358pt;margin-top:377.25pt;width:134.45pt;height:44.75pt;z-index:3;mso-wrap-style:none;mso-position-horizontal-relative:page;mso-position-vertical-relative:page" stroked="f">
            <v:textbox style="mso-next-textbox:#_x0000_s16262" inset="0,0,0,0">
              <w:txbxContent>
                <w:p w:rsidR="00B86B27" w:rsidRDefault="00B86B2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86B27" w:rsidRDefault="00B86B27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3" o:spid="_x0000_s1030" type="#_x0000_t202" style="position:absolute;left:0;text-align:left;margin-left:90.15pt;margin-top:117.7pt;width:477.4pt;height:227.3pt;z-index:2;mso-wrap-style:none;mso-position-horizontal-relative:page;mso-position-vertical-relative:page" stroked="f">
            <v:textbox style="mso-next-textbox:#_x0000_s16263" inset="0,0,0,0">
              <w:txbxContent>
                <w:tbl>
                  <w:tblPr>
                    <w:tblW w:w="50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361"/>
                    <w:gridCol w:w="1405"/>
                  </w:tblGrid>
                  <w:tr w:rsidR="00B86B27" w:rsidRPr="00B86B2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B86B27" w:rsidRDefault="00B86B2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25 לחוק מרשם האוכלוסין, תשכ"ה-1965 1(להלן - החוק העיקרי), אחרי</w:t>
                        </w:r>
                      </w:p>
                      <w:p w:rsidR="00B86B27" w:rsidRP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החוקה חוק ומשפט של הכנסת" יבוא "ופרטים נוספים שייקבעו ויאושרו כאמור".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6B27" w:rsidRP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B86B27" w:rsidRPr="00B86B2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B86B27" w:rsidRP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26 לחוק העיקרי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6B27" w:rsidRP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B86B27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הפנים רשאי לקבוע בתקנות את תקופת תקפן של תעודות זהות</w:t>
                        </w:r>
                      </w:p>
                      <w:p w:rsid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 לעדכונן, להחלפתן ולפקיעת תקפן, והוא רשאי לעשות כן דרך</w:t>
                        </w:r>
                      </w:p>
                      <w:p w:rsid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או לסוגים לפי מועד הוצאתן של תעודות או גילם של בעליהן, או</w:t>
                        </w:r>
                      </w:p>
                      <w:p w:rsidR="00B86B27" w:rsidRP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מבחן אחר שיאושר על ידי ועדת החוקה חוק ומשפט של הכנסת."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תקפן של</w:t>
                        </w:r>
                      </w:p>
                      <w:p w:rsidR="00B86B27" w:rsidRP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זהות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6B27" w:rsidRPr="00B86B2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תעודת זהות שהיתה בתוקף ערב קבלתו של חוק זה בכנסת תהיה בתוקף כל עוד לא</w:t>
                        </w:r>
                      </w:p>
                      <w:p w:rsidR="00B86B27" w:rsidRP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אחרת בתקנות לפי סעיף 26 לחוק העיקרי.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6B27" w:rsidRP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B86B27" w:rsidRPr="00B86B27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בטלים -</w:t>
                        </w:r>
                      </w:p>
                      <w:p w:rsid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44 (ד) לחוק העיקרי;</w:t>
                        </w:r>
                      </w:p>
                      <w:p w:rsidR="00B86B27" w:rsidRPr="00B86B27" w:rsidRDefault="00B86B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תקנות-שעת-חירום (הארכת תקפן של תעודות זהות), תש"ל-21970.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6B27" w:rsidRPr="00B86B27" w:rsidRDefault="00B86B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B86B27" w:rsidRDefault="00B86B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64" o:spid="_x0000_s1031" type="#_x0000_t202" style="position:absolute;left:0;text-align:left;margin-left:151.7pt;margin-top:83.25pt;width:287.5pt;height:30.3pt;z-index:1;mso-wrap-style:none;mso-position-horizontal-relative:page;mso-position-vertical-relative:page" stroked="f">
            <v:textbox style="mso-next-textbox:#_x0000_s16264" inset="0,0,0,0">
              <w:txbxContent>
                <w:p w:rsidR="00B86B27" w:rsidRPr="00B86B27" w:rsidRDefault="00B86B27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מרשם האוכלוסין (תיקון מס' 4),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6B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CD4423-8E83-408B-852E-623E7A0B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6B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2008-04-09T14:42:00Z</dcterms:created>
  <dcterms:modified xsi:type="dcterms:W3CDTF">2008-04-09T14:42:00Z</dcterms:modified>
</cp:coreProperties>
</file>