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06ECB" w:rsidRDefault="00806ECB">
      <w:pPr>
        <w:rPr>
          <w:rtl/>
        </w:rPr>
      </w:pPr>
    </w:p>
    <w:p w:rsidR="00806EC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629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16299" inset="0,0,0,0">
              <w:txbxContent>
                <w:p w:rsidR="00257A77" w:rsidRDefault="00257A77">
                  <w:r>
                    <w:rPr>
                      <w:rtl/>
                    </w:rPr>
                    <w:t>75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00" o:spid="_x0000_s1026" type="#_x0000_t202" style="position:absolute;left:0;text-align:left;margin-left:152.7pt;margin-top:690.95pt;width:390.85pt;height:66.35pt;z-index:6;mso-position-horizontal-relative:page;mso-position-vertical-relative:page" stroked="f">
            <v:textbox style="mso-next-textbox:#_x0000_s16300" inset="0,0,0,0">
              <w:txbxContent>
                <w:p w:rsidR="00257A77" w:rsidRDefault="00257A77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י' בניסן תשכ"א (27 במרס 1001) ; הצעת החוק ודברי הסבר נתפרסמו בה"ח 401, תשכ"א.</w:t>
                  </w:r>
                </w:p>
                <w:p w:rsidR="00257A77" w:rsidRPr="00806ECB" w:rsidRDefault="00257A77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עמ' 192.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01" o:spid="_x0000_s1027" type="#_x0000_t202" style="position:absolute;left:0;text-align:left;margin-left:176.05pt;margin-top:428.4pt;width:92.85pt;height:33.65pt;z-index:5;mso-position-horizontal-relative:page;mso-position-vertical-relative:page" stroked="f">
            <v:textbox style="mso-next-textbox:#_x0000_s16301" inset="0,0,0,0">
              <w:txbxContent>
                <w:p w:rsidR="00257A77" w:rsidRDefault="00257A77">
                  <w:pPr>
                    <w:pStyle w:val="OCRStyle1"/>
                    <w:ind w:left="335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257A77" w:rsidRDefault="00257A77">
                  <w:pPr>
                    <w:pStyle w:val="OCRStyle1"/>
                    <w:ind w:left="497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02" o:spid="_x0000_s1028" type="#_x0000_t202" style="position:absolute;left:0;text-align:left;margin-left:281pt;margin-top:427.6pt;width:109.3pt;height:41.2pt;z-index:4;mso-position-horizontal-relative:page;mso-position-vertical-relative:page" stroked="f">
            <v:textbox style="mso-next-textbox:#_x0000_s16302" inset="0,0,0,0">
              <w:txbxContent>
                <w:p w:rsidR="00257A77" w:rsidRDefault="00257A77">
                  <w:pPr>
                    <w:pStyle w:val="OCRStyle1"/>
                    <w:ind w:left="29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57A77" w:rsidRDefault="00257A77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03" o:spid="_x0000_s1029" type="#_x0000_t202" style="position:absolute;left:0;text-align:left;margin-left:435.05pt;margin-top:455.9pt;width:102.55pt;height:34.45pt;z-index:3;mso-position-horizontal-relative:page;mso-position-vertical-relative:page" stroked="f">
            <v:textbox style="mso-next-textbox:#_x0000_s16303" inset="0,0,0,0">
              <w:txbxContent>
                <w:p w:rsidR="00257A77" w:rsidRDefault="00257A77">
                  <w:pPr>
                    <w:pStyle w:val="OCRStyle1"/>
                    <w:ind w:left="108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257A77" w:rsidRDefault="00257A77">
                  <w:pPr>
                    <w:pStyle w:val="OCRStyle1"/>
                    <w:ind w:left="33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04" o:spid="_x0000_s1030" type="#_x0000_t202" style="position:absolute;left:0;text-align:left;margin-left:84pt;margin-top:329.4pt;width:466.5pt;height:98.2pt;z-index:2;mso-position-horizontal-relative:page;mso-position-vertical-relative:page" stroked="f">
            <v:textbox style="mso-next-textbox:#_x0000_s16304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9"/>
                    <w:gridCol w:w="7204"/>
                  </w:tblGrid>
                  <w:tr w:rsidR="00257A77" w:rsidRPr="00806EC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57A77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מילווה לממשלה</w:t>
                        </w:r>
                      </w:p>
                      <w:p w:rsidR="00257A77" w:rsidRPr="00806ECB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מבנק ישראל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57A77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.הממשלה מורשית בזה לקבל מבנק ישראל (להלן -הבנק) והבנק מורשה בזה לתת</w:t>
                        </w:r>
                      </w:p>
                      <w:p w:rsidR="00257A77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לממשלה מילווה בסכום שלא יעלה על 15 מיליון לירות לשם מימון התשלומים שעל המדינה</w:t>
                        </w:r>
                      </w:p>
                      <w:p w:rsidR="00257A77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לשלמם לקרן המטבע הבין-לאומית, לבנק הבין-לאומי לשיקום ולפיתוח ולאיגוד הבין-</w:t>
                        </w:r>
                      </w:p>
                      <w:p w:rsidR="00257A77" w:rsidRPr="00806ECB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לאומי לפיתוח בשנות הכספים 1960/61 ו- 1961/62.</w:t>
                        </w:r>
                      </w:p>
                    </w:tc>
                  </w:tr>
                  <w:tr w:rsidR="00257A77" w:rsidRPr="00806ECB">
                    <w:trPr>
                      <w:jc w:val="right"/>
                    </w:trPr>
                    <w:tc>
                      <w:tcPr>
                        <w:tcW w:w="754" w:type="pct"/>
                      </w:tcPr>
                      <w:p w:rsidR="00257A77" w:rsidRPr="00806ECB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המילווה</w:t>
                        </w:r>
                      </w:p>
                    </w:tc>
                    <w:tc>
                      <w:tcPr>
                        <w:tcW w:w="4246" w:type="pct"/>
                      </w:tcPr>
                      <w:p w:rsidR="00257A77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תנאי המילווה ומועדי פרעונו ייקבעו בהסכם בין שר האוצר לבין נגיד הבנק באישורה</w:t>
                        </w:r>
                      </w:p>
                      <w:p w:rsidR="00257A77" w:rsidRPr="00806ECB" w:rsidRDefault="00257A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ועדת הכספים של הכנסת.</w:t>
                        </w:r>
                      </w:p>
                    </w:tc>
                  </w:tr>
                </w:tbl>
                <w:p w:rsidR="00257A77" w:rsidRDefault="00257A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6305" o:spid="_x0000_s1031" type="#_x0000_t202" style="position:absolute;left:0;text-align:left;margin-left:156.25pt;margin-top:306.2pt;width:376.2pt;height:19.8pt;z-index:1;mso-position-horizontal-relative:page;mso-position-vertical-relative:page" stroked="f">
            <v:textbox style="mso-next-textbox:#_x0000_s16305" inset="0,0,0,0">
              <w:txbxContent>
                <w:p w:rsidR="00257A77" w:rsidRPr="00806ECB" w:rsidRDefault="00257A77">
                  <w:pPr>
                    <w:pStyle w:val="OCRStyle1"/>
                    <w:ind w:left="317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המקדמה (השתתפות במוסדות בין-לאומיים), תשכ"א-1961 *</w:t>
                  </w:r>
                </w:p>
              </w:txbxContent>
            </v:textbox>
            <w10:wrap anchorx="page" anchory="page"/>
          </v:shape>
        </w:pict>
      </w:r>
    </w:p>
    <w:p w:rsidR="00257A77" w:rsidRDefault="00257A77">
      <w:pPr>
        <w:rPr>
          <w:rtl/>
        </w:rPr>
      </w:pPr>
      <w:r>
        <w:rPr>
          <w:rtl/>
        </w:rPr>
        <w:br w:type="page"/>
      </w:r>
    </w:p>
    <w:p w:rsidR="00257A77" w:rsidRDefault="00000000">
      <w:pPr>
        <w:rPr>
          <w:rtl/>
        </w:rPr>
      </w:pPr>
      <w:r>
        <w:pict>
          <v:shape id="_x0000_s16306" o:spid="_x0000_s1032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16306" inset="0,0,0,0">
              <w:txbxContent>
                <w:p w:rsidR="00257A77" w:rsidRDefault="00257A77">
                  <w:r>
                    <w:rPr>
                      <w:rtl/>
                    </w:rPr>
                    <w:t>76                                           ספר החוקים 334                  ט"ז בניסן התשכ"א 02.04.1961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16307" o:spid="_x0000_s1033" type="#_x0000_t202" style="position:absolute;left:0;text-align:left;margin-left:95.05pt;margin-top:731.5pt;width:188.7pt;height:25.75pt;z-index:8;mso-position-horizontal-relative:page;mso-position-vertical-relative:page" stroked="f">
            <v:textbox style="mso-next-textbox:#_x0000_s16307" inset="0,0,0,0">
              <w:txbxContent>
                <w:p w:rsidR="00257A77" w:rsidRDefault="00257A7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806EC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6EC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B56BEDE3-3E33-4341-B997-EE522FDDA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06ECB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257A7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2008-04-06T19:41:00Z</dcterms:created>
  <dcterms:modified xsi:type="dcterms:W3CDTF">2008-04-06T19:41:00Z</dcterms:modified>
</cp:coreProperties>
</file>