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146D2" w:rsidRDefault="00A146D2">
      <w:pPr>
        <w:rPr>
          <w:rtl/>
        </w:rPr>
      </w:pPr>
    </w:p>
    <w:p w:rsidR="00A146D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30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6308" inset="0,0,0,0">
              <w:txbxContent>
                <w:p w:rsidR="00A146D2" w:rsidRDefault="00A146D2">
                  <w:r>
                    <w:rPr>
                      <w:rtl/>
                    </w:rPr>
                    <w:t>75                                           ספר החוקים 393                  י"א בניסן התשכ"ג 05.04.1963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09" o:spid="_x0000_s1026" type="#_x0000_t202" style="position:absolute;left:0;text-align:left;margin-left:360.6pt;margin-top:739.2pt;width:178.2pt;height:22.35pt;z-index:7;mso-position-horizontal-relative:page;mso-position-vertical-relative:page" stroked="f">
            <v:textbox style="mso-next-textbox:#_x0000_s16309" inset="0,0,0,0">
              <w:txbxContent>
                <w:p w:rsidR="00A146D2" w:rsidRDefault="00A146D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310" o:spid="_x0000_s1027" type="#_x0000_t202" style="position:absolute;left:0;text-align:left;margin-left:141.25pt;margin-top:702.95pt;width:377pt;height:22.35pt;z-index:6;mso-position-horizontal-relative:page;mso-position-vertical-relative:page" stroked="f">
            <v:textbox style="mso-next-textbox:#_x0000_s16310" inset="0,0,0,0">
              <w:txbxContent>
                <w:p w:rsidR="00A146D2" w:rsidRDefault="00A146D2">
                  <w:pPr>
                    <w:pStyle w:val="OCRStyle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תשכ"ג (27 במרס 1963); הצעת החוק ודברי הסבר פורסמו בה"ח 556, תשכ"ג</w:t>
                  </w:r>
                </w:p>
                <w:p w:rsidR="00A146D2" w:rsidRPr="00A146D2" w:rsidRDefault="00A146D2">
                  <w:pPr>
                    <w:pStyle w:val="OCRStyle1"/>
                    <w:ind w:left="1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11" o:spid="_x0000_s1028" type="#_x0000_t202" style="position:absolute;left:0;text-align:left;margin-left:171.35pt;margin-top:635.8pt;width:100.6pt;height:32.85pt;z-index:5;mso-position-horizontal-relative:page;mso-position-vertical-relative:page" stroked="f">
            <v:textbox style="mso-next-textbox:#_x0000_s16311" inset="0,0,0,0">
              <w:txbxContent>
                <w:p w:rsidR="00A146D2" w:rsidRDefault="00A146D2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146D2" w:rsidRDefault="00A146D2">
                  <w:pPr>
                    <w:pStyle w:val="OCRStyle1"/>
                    <w:ind w:left="58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12" o:spid="_x0000_s1029" type="#_x0000_t202" style="position:absolute;left:0;text-align:left;margin-left:283.2pt;margin-top:635.8pt;width:111.1pt;height:41.4pt;z-index:4;mso-position-horizontal-relative:page;mso-position-vertical-relative:page" stroked="f">
            <v:textbox style="mso-next-textbox:#_x0000_s16312" inset="0,0,0,0">
              <w:txbxContent>
                <w:p w:rsidR="00A146D2" w:rsidRDefault="00A146D2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146D2" w:rsidRDefault="00A146D2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13" o:spid="_x0000_s1030" type="#_x0000_t202" style="position:absolute;left:0;text-align:left;margin-left:444.95pt;margin-top:666.9pt;width:93.05pt;height:31.9pt;z-index:3;mso-position-horizontal-relative:page;mso-position-vertical-relative:page" stroked="f">
            <v:textbox style="mso-next-textbox:#_x0000_s16313" inset="0,0,0,0">
              <w:txbxContent>
                <w:p w:rsidR="00A146D2" w:rsidRDefault="00A146D2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146D2" w:rsidRDefault="00A146D2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14" o:spid="_x0000_s1031" type="#_x0000_t202" style="position:absolute;left:0;text-align:left;margin-left:87pt;margin-top:556.6pt;width:447.7pt;height:79pt;z-index:2;mso-position-horizontal-relative:page;mso-position-vertical-relative:page" stroked="f">
            <v:textbox style="mso-next-textbox:#_x0000_s1631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6984"/>
                  </w:tblGrid>
                  <w:tr w:rsidR="00A146D2" w:rsidRPr="00A146D2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A146D2" w:rsidRDefault="00A146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לממשלה</w:t>
                        </w:r>
                      </w:p>
                      <w:p w:rsidR="00A146D2" w:rsidRPr="00A146D2" w:rsidRDefault="00A146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מבנק ישראל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A146D2" w:rsidRDefault="00A146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.הממשלה מורשית בזה לקבל מבנק ישראל (להלן - הבנק) והבנק מורשה בזה לתת</w:t>
                        </w:r>
                      </w:p>
                      <w:p w:rsidR="00A146D2" w:rsidRDefault="00A146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מילווה בסכום שלא יעלה על 50 מיליון דולר של ארצות הברית של אמריקה</w:t>
                        </w:r>
                      </w:p>
                      <w:p w:rsidR="00A146D2" w:rsidRPr="00A146D2" w:rsidRDefault="00A146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למימון פרעון מוקדם של הובות-חוץ של המדינה.</w:t>
                        </w:r>
                      </w:p>
                    </w:tc>
                  </w:tr>
                  <w:tr w:rsidR="00A146D2" w:rsidRPr="00A146D2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A146D2" w:rsidRPr="00A146D2" w:rsidRDefault="00A146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המילווה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A146D2" w:rsidRDefault="00A146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תנאי המילווה ומועדי פרעונו ייקבעו בהסכמים בין שר האוצר לבין נגיד הבנק</w:t>
                        </w:r>
                      </w:p>
                      <w:p w:rsidR="00A146D2" w:rsidRPr="00A146D2" w:rsidRDefault="00A146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באישורה של ועדת הכספים של הכנסת,</w:t>
                        </w:r>
                      </w:p>
                    </w:tc>
                  </w:tr>
                </w:tbl>
                <w:p w:rsidR="00A146D2" w:rsidRDefault="00A146D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315" o:spid="_x0000_s1032" type="#_x0000_t202" style="position:absolute;left:0;text-align:left;margin-left:173.9pt;margin-top:529.1pt;width:322.75pt;height:26.75pt;z-index:1;mso-position-horizontal-relative:page;mso-position-vertical-relative:page" stroked="f">
            <v:textbox style="mso-next-textbox:#_x0000_s16315" inset="0,0,0,0">
              <w:txbxContent>
                <w:p w:rsidR="00A146D2" w:rsidRPr="00A146D2" w:rsidRDefault="00A146D2">
                  <w:pPr>
                    <w:pStyle w:val="OCRStyle1"/>
                    <w:ind w:left="16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המקדמה (פרעון חובות במטבע-חוץ),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A146D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0ABF4C-8E1F-4665-A711-044312A32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146D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2008-04-07T10:59:00Z</dcterms:created>
  <dcterms:modified xsi:type="dcterms:W3CDTF">2008-04-07T10:59:00Z</dcterms:modified>
</cp:coreProperties>
</file>