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01B7" w:rsidRDefault="002901B7">
      <w:pPr>
        <w:rPr>
          <w:rtl/>
        </w:rPr>
      </w:pPr>
    </w:p>
    <w:p w:rsidR="002901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81" inset="0,0,0,0">
              <w:txbxContent>
                <w:p w:rsidR="00E82A15" w:rsidRDefault="00E82A15">
                  <w:r>
                    <w:rPr>
                      <w:rtl/>
                    </w:rPr>
                    <w:t>67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82" o:spid="_x0000_s1026" type="#_x0000_t202" style="position:absolute;left:0;text-align:left;margin-left:171.95pt;margin-top:718.9pt;width:373.65pt;height:51.7pt;z-index:6;mso-position-horizontal-relative:page;mso-position-vertical-relative:page" stroked="f">
            <v:textbox style="mso-next-textbox:#_x0000_s16382" inset="0,0,0,0">
              <w:txbxContent>
                <w:p w:rsidR="00E82A15" w:rsidRDefault="00E82A15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תשל"ב (21 במרס 1792); הצעת החוק ודברי הסבר פורסמו בה"ח 889, תשל"ב,</w:t>
                  </w:r>
                </w:p>
                <w:p w:rsidR="00E82A15" w:rsidRPr="002901B7" w:rsidRDefault="00E82A15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83" o:spid="_x0000_s1027" type="#_x0000_t202" style="position:absolute;left:0;text-align:left;margin-left:203.05pt;margin-top:654.35pt;width:79.2pt;height:34.45pt;z-index:5;mso-position-horizontal-relative:page;mso-position-vertical-relative:page" stroked="f">
            <v:textbox style="mso-next-textbox:#_x0000_s16383" inset="0,0,0,0">
              <w:txbxContent>
                <w:p w:rsidR="00E82A15" w:rsidRDefault="00E82A1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82A15" w:rsidRDefault="00E82A15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84" o:spid="_x0000_s1028" type="#_x0000_t202" style="position:absolute;left:0;text-align:left;margin-left:303.8pt;margin-top:652.15pt;width:92.05pt;height:37.05pt;z-index:4;mso-position-horizontal-relative:page;mso-position-vertical-relative:page" stroked="f">
            <v:textbox style="mso-next-textbox:#_x0000_s16384" inset="0,0,0,0">
              <w:txbxContent>
                <w:p w:rsidR="00E82A15" w:rsidRDefault="00E82A15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82A15" w:rsidRDefault="00E82A15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85" o:spid="_x0000_s1029" type="#_x0000_t202" style="position:absolute;left:0;text-align:left;margin-left:422.6pt;margin-top:677.5pt;width:118.8pt;height:35.25pt;z-index:3;mso-position-horizontal-relative:page;mso-position-vertical-relative:page" stroked="f">
            <v:textbox style="mso-next-textbox:#_x0000_s16385" inset="0,0,0,0">
              <w:txbxContent>
                <w:p w:rsidR="00E82A15" w:rsidRDefault="00E82A1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שגיאור זלמן שזר</w:t>
                  </w:r>
                </w:p>
                <w:p w:rsidR="00E82A15" w:rsidRDefault="00E82A15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86" o:spid="_x0000_s1030" type="#_x0000_t202" style="position:absolute;left:0;text-align:left;margin-left:105.8pt;margin-top:568.2pt;width:443.3pt;height:80pt;z-index:2;mso-position-horizontal-relative:page;mso-position-vertical-relative:page" stroked="f">
            <v:textbox style="mso-next-textbox:#_x0000_s1638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6737"/>
                  </w:tblGrid>
                  <w:tr w:rsidR="00E82A15" w:rsidRPr="002901B7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E82A15" w:rsidRDefault="00E82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לממשלה</w:t>
                        </w:r>
                      </w:p>
                      <w:p w:rsidR="00E82A15" w:rsidRPr="002901B7" w:rsidRDefault="00E82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E82A15" w:rsidRDefault="00E82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הממשלה מורשית בזה לקבל מבנק ישראל (להלן - הבנק) והבנק מורשה בזה לתת</w:t>
                        </w:r>
                      </w:p>
                      <w:p w:rsidR="00E82A15" w:rsidRPr="002901B7" w:rsidRDefault="00E82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כסכום שלא יצלה על 650,000,000 לירות.</w:t>
                        </w:r>
                      </w:p>
                    </w:tc>
                  </w:tr>
                  <w:tr w:rsidR="00E82A15" w:rsidRPr="002901B7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E82A15" w:rsidRPr="002901B7" w:rsidRDefault="00E82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המקדמה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E82A15" w:rsidRDefault="00E82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הבאי המקדמה ומועדי פרעונה ייקבעו בהסכם בין שר האוצר ובץ נגיד הבנק באישורה</w:t>
                        </w:r>
                      </w:p>
                      <w:p w:rsidR="00E82A15" w:rsidRPr="002901B7" w:rsidRDefault="00E82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</w:tr>
                </w:tbl>
                <w:p w:rsidR="00E82A15" w:rsidRDefault="00E82A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87" o:spid="_x0000_s1031" type="#_x0000_t202" style="position:absolute;left:0;text-align:left;margin-left:272.75pt;margin-top:542.3pt;width:169.7pt;height:23.35pt;z-index:1;mso-position-horizontal-relative:page;mso-position-vertical-relative:page" stroked="f">
            <v:textbox style="mso-next-textbox:#_x0000_s16387" inset="0,0,0,0">
              <w:txbxContent>
                <w:p w:rsidR="00E82A15" w:rsidRPr="002901B7" w:rsidRDefault="00E82A15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המקדמה, תשל"ב-1972*</w:t>
                  </w:r>
                </w:p>
              </w:txbxContent>
            </v:textbox>
            <w10:wrap anchorx="page" anchory="page"/>
          </v:shape>
        </w:pict>
      </w:r>
    </w:p>
    <w:p w:rsidR="00E82A15" w:rsidRDefault="00E82A15">
      <w:pPr>
        <w:rPr>
          <w:rtl/>
        </w:rPr>
      </w:pPr>
      <w:r>
        <w:rPr>
          <w:rtl/>
        </w:rPr>
        <w:br w:type="page"/>
      </w:r>
    </w:p>
    <w:p w:rsidR="00E82A15" w:rsidRDefault="00000000">
      <w:pPr>
        <w:rPr>
          <w:rtl/>
        </w:rPr>
      </w:pPr>
      <w:r>
        <w:pict>
          <v:shape id="_x0000_s16388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388" inset="0,0,0,0">
              <w:txbxContent>
                <w:p w:rsidR="00E82A15" w:rsidRDefault="00E82A15">
                  <w:r>
                    <w:rPr>
                      <w:rtl/>
                    </w:rPr>
                    <w:t>68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89" o:spid="_x0000_s1033" type="#_x0000_t202" style="position:absolute;left:0;text-align:left;margin-left:74.75pt;margin-top:723.85pt;width:146.3pt;height:33.45pt;z-index:8;mso-position-horizontal-relative:page;mso-position-vertical-relative:page" stroked="f">
            <v:textbox style="mso-next-textbox:#_x0000_s16389" inset="0,0,0,0">
              <w:txbxContent>
                <w:p w:rsidR="00E82A15" w:rsidRDefault="00E82A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01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E8FF35-2698-4C42-8D7A-BF234005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01B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82A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2008-04-06T21:46:00Z</dcterms:created>
  <dcterms:modified xsi:type="dcterms:W3CDTF">2008-04-06T21:46:00Z</dcterms:modified>
</cp:coreProperties>
</file>