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2CDF" w:rsidRDefault="00B92CDF">
      <w:pPr>
        <w:rPr>
          <w:rtl/>
        </w:rPr>
      </w:pPr>
    </w:p>
    <w:p w:rsidR="00B92CD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50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500" inset="0,0,0,0">
              <w:txbxContent>
                <w:p w:rsidR="00B92CDF" w:rsidRDefault="00B92CDF">
                  <w:r>
                    <w:rPr>
                      <w:rtl/>
                    </w:rPr>
                    <w:t>4                                            ספר החוקים 486                  י' בכסליו התשכ"ז 23.11.1966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01" o:spid="_x0000_s1026" type="#_x0000_t202" style="position:absolute;left:0;text-align:left;margin-left:71.7pt;margin-top:602.2pt;width:388.65pt;height:151.05pt;z-index:6;mso-wrap-style:none;mso-position-horizontal-relative:page;mso-position-vertical-relative:page" stroked="f">
            <v:textbox style="mso-next-textbox:#_x0000_s16501" inset="0,0,0,0">
              <w:txbxContent>
                <w:p w:rsidR="00B92CDF" w:rsidRDefault="00B92CDF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בכסלו תשכ"ז (14 בנובמבר 1966); הצעת החוק ודברי הסבר פורסמו בה"ח 689, תשכ"ו,</w:t>
                  </w:r>
                </w:p>
                <w:p w:rsidR="00B92CDF" w:rsidRDefault="00B92CDF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עמ' 108.</w:t>
                  </w:r>
                </w:p>
                <w:p w:rsidR="00B92CDF" w:rsidRDefault="00B92CDF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בי, סרק פ/ עמ' 82; ס"ח תשי"ח, עמ' 114; ס"ח תש''ך, עמי 13.</w:t>
                  </w:r>
                </w:p>
                <w:p w:rsidR="00B92CDF" w:rsidRPr="00B92CDF" w:rsidRDefault="00B92CDF">
                  <w:pPr>
                    <w:pStyle w:val="OCRStyle1"/>
                    <w:ind w:left="4205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02" o:spid="_x0000_s1027" type="#_x0000_t202" style="position:absolute;left:0;text-align:left;margin-left:93.5pt;margin-top:311.35pt;width:115.85pt;height:37.6pt;z-index:5;mso-wrap-style:none;mso-position-horizontal-relative:page;mso-position-vertical-relative:page" stroked="f">
            <v:textbox style="mso-next-textbox:#_x0000_s16502" inset="0,0,0,0">
              <w:txbxContent>
                <w:p w:rsidR="00B92CDF" w:rsidRDefault="00B92CD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B92CDF" w:rsidRDefault="00B92CDF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03" o:spid="_x0000_s1028" type="#_x0000_t202" style="position:absolute;left:0;text-align:left;margin-left:218.6pt;margin-top:312.35pt;width:95.85pt;height:37.6pt;z-index:4;mso-wrap-style:none;mso-position-horizontal-relative:page;mso-position-vertical-relative:page" stroked="f">
            <v:textbox style="mso-next-textbox:#_x0000_s16503" inset="0,0,0,0">
              <w:txbxContent>
                <w:p w:rsidR="00B92CDF" w:rsidRDefault="00B92CDF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92CDF" w:rsidRDefault="00B92CDF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04" o:spid="_x0000_s1029" type="#_x0000_t202" style="position:absolute;left:0;text-align:left;margin-left:336.4pt;margin-top:338.45pt;width:141.55pt;height:48.9pt;z-index:3;mso-wrap-style:none;mso-position-horizontal-relative:page;mso-position-vertical-relative:page" stroked="f">
            <v:textbox style="mso-next-textbox:#_x0000_s16504" inset="0,0,0,0">
              <w:txbxContent>
                <w:p w:rsidR="00B92CDF" w:rsidRDefault="00B92CDF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92CDF" w:rsidRDefault="00B92CDF">
                  <w:pPr>
                    <w:pStyle w:val="OCRStyle1"/>
                    <w:ind w:left="7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05" o:spid="_x0000_s1030" type="#_x0000_t202" style="position:absolute;left:0;text-align:left;margin-left:72.7pt;margin-top:145.6pt;width:477.4pt;height:155.25pt;z-index:2;mso-wrap-style:none;mso-position-horizontal-relative:page;mso-position-vertical-relative:page" stroked="f">
            <v:textbox style="mso-next-textbox:#_x0000_s16505" inset="0,0,0,0">
              <w:txbxContent>
                <w:tbl>
                  <w:tblPr>
                    <w:tblW w:w="50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0"/>
                    <w:gridCol w:w="1303"/>
                    <w:gridCol w:w="1385"/>
                  </w:tblGrid>
                  <w:tr w:rsidR="00B92CDF" w:rsidRPr="00B92CDF">
                    <w:trPr>
                      <w:jc w:val="right"/>
                    </w:trPr>
                    <w:tc>
                      <w:tcPr>
                        <w:tcW w:w="4202" w:type="pct"/>
                        <w:gridSpan w:val="2"/>
                      </w:tcPr>
                      <w:p w:rsidR="00B92CDF" w:rsidRP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10א לפקודת הקרקעות (סידור זכות הקנין)1 יבוא: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92CDF" w:rsidRP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10ב</w:t>
                        </w:r>
                      </w:p>
                    </w:tc>
                  </w:tr>
                  <w:tr w:rsidR="00B92CDF">
                    <w:trPr>
                      <w:jc w:val="right"/>
                    </w:trPr>
                    <w:tc>
                      <w:tcPr>
                        <w:tcW w:w="3451" w:type="pct"/>
                      </w:tcPr>
                      <w:p w:rsid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10ב. (1) על אף האמור בסעיף 10א (א)' יהא בית המשפט המחוזי הדן</w:t>
                        </w:r>
                      </w:p>
                      <w:p w:rsid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10 בסכסוך על בעלות במקרקעין שבאזור סידור' או על זכות</w:t>
                        </w:r>
                      </w:p>
                      <w:p w:rsid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החכירה בהם, מוסמך לפסוק גם על סילוק יד של אדם שהיה צד לאותו</w:t>
                        </w:r>
                      </w:p>
                      <w:p w:rsid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דיון.</w:t>
                        </w:r>
                      </w:p>
                      <w:p w:rsid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הדין שעל פיו ידון בית המשפט המחוזי בבקשה לסילוק יד</w:t>
                        </w:r>
                      </w:p>
                      <w:p w:rsid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(1), יהא הדין החל בדרך כלל על תביעות לסילוק יד."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לפסוק</w:t>
                        </w:r>
                      </w:p>
                      <w:p w:rsidR="00B92CDF" w:rsidRP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סילוק יד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92CDF" w:rsidRPr="00B92CDF">
                    <w:trPr>
                      <w:jc w:val="right"/>
                    </w:trPr>
                    <w:tc>
                      <w:tcPr>
                        <w:tcW w:w="4202" w:type="pct"/>
                        <w:gridSpan w:val="2"/>
                      </w:tcPr>
                      <w:p w:rsid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סעיף 10ב לפקודה יחולו גם על סכסוך כאמור בו שהיה תלוי ועומד לפני בית</w:t>
                        </w:r>
                      </w:p>
                      <w:p w:rsidR="00B92CDF" w:rsidRP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מחוזי ביום תחילתו של חוק זה ועוד לא הוחל בדיון בו.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92CDF" w:rsidRPr="00B92CDF" w:rsidRDefault="00B92C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B92CDF" w:rsidRDefault="00B92CD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506" o:spid="_x0000_s1031" type="#_x0000_t202" style="position:absolute;left:0;text-align:left;margin-left:107.15pt;margin-top:90.4pt;width:337.6pt;height:43.75pt;z-index:1;mso-wrap-style:none;mso-position-horizontal-relative:page;mso-position-vertical-relative:page" stroked="f">
            <v:textbox style="mso-next-textbox:#_x0000_s16506" inset="0,0,0,0">
              <w:txbxContent>
                <w:p w:rsidR="00B92CDF" w:rsidRDefault="00B92CDF">
                  <w:pPr>
                    <w:pStyle w:val="OCRStyle1"/>
                    <w:ind w:left="28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הקרקעות (סידור זכות הקנין) (מסי 3),</w:t>
                  </w:r>
                </w:p>
                <w:p w:rsidR="00B92CDF" w:rsidRPr="00B92CDF" w:rsidRDefault="00B92CDF">
                  <w:pPr>
                    <w:pStyle w:val="OCRStyle1"/>
                    <w:ind w:left="238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תשכ"ז-1966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92CD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18B84D-4168-4BE3-8E25-A25346EA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92CD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2008-04-09T13:54:00Z</dcterms:created>
  <dcterms:modified xsi:type="dcterms:W3CDTF">2008-04-09T13:54:00Z</dcterms:modified>
</cp:coreProperties>
</file>