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3C62" w:rsidRDefault="00D63C62">
      <w:pPr>
        <w:rPr>
          <w:rtl/>
        </w:rPr>
      </w:pPr>
    </w:p>
    <w:p w:rsidR="00D63C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966" inset="0,0,0,0">
              <w:txbxContent>
                <w:p w:rsidR="00D63C62" w:rsidRDefault="00D63C62">
                  <w:r>
                    <w:rPr>
                      <w:rtl/>
                    </w:rPr>
                    <w:t>10                                           ספר החוקים 748                  ז' בכסליו התשל"ה 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7" o:spid="_x0000_s1026" type="#_x0000_t202" style="position:absolute;left:0;text-align:left;margin-left:86.3pt;margin-top:614.85pt;width:395pt;height:147.5pt;z-index:6;mso-position-horizontal-relative:page;mso-position-vertical-relative:page" stroked="f">
            <v:textbox style="mso-next-textbox:#_x0000_s16967" inset="0,0,0,0">
              <w:txbxContent>
                <w:p w:rsidR="00D63C62" w:rsidRDefault="00D63C62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כ"ז בחשון תשל"ה (12 בנובמבר 1974); הצעת החוק ודברי הסבר פורסמו בח"ח 1138 ,תשל"ד</w:t>
                  </w:r>
                </w:p>
                <w:p w:rsidR="00D63C62" w:rsidRDefault="00D63C62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עמ' 274.</w:t>
                  </w:r>
                </w:p>
                <w:p w:rsidR="00D63C62" w:rsidRDefault="00D63C6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ס"ח תש"י, עמ' 162; תשל"ג, עמ' 252.</w:t>
                  </w:r>
                </w:p>
                <w:p w:rsidR="00D63C62" w:rsidRDefault="00D63C62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  ס"ח תש"ט, עמ' 13; תש"ל, עמ' .121</w:t>
                  </w:r>
                </w:p>
                <w:p w:rsidR="00D63C62" w:rsidRPr="00D63C62" w:rsidRDefault="00D63C62">
                  <w:pPr>
                    <w:pStyle w:val="OCRStyle1"/>
                    <w:ind w:left="4118"/>
                  </w:pPr>
                  <w:r>
                    <w:rPr>
                      <w:rtl/>
                    </w:rPr>
                    <w:t>סטר החוקים 748, ז' בכסלו תשל"ח, 21.11.1974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8" o:spid="_x0000_s1027" type="#_x0000_t202" style="position:absolute;left:0;text-align:left;margin-left:120.35pt;margin-top:551.85pt;width:91.85pt;height:35.25pt;z-index:5;mso-position-horizontal-relative:page;mso-position-vertical-relative:page" stroked="f">
            <v:textbox style="mso-next-textbox:#_x0000_s16968" inset="0,0,0,0">
              <w:txbxContent>
                <w:p w:rsidR="00D63C62" w:rsidRDefault="00D63C6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63C62" w:rsidRDefault="00D63C62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69" o:spid="_x0000_s1028" type="#_x0000_t202" style="position:absolute;left:0;text-align:left;margin-left:247.25pt;margin-top:550.9pt;width:78.4pt;height:36.25pt;z-index:4;mso-position-horizontal-relative:page;mso-position-vertical-relative:page" stroked="f">
            <v:textbox style="mso-next-textbox:#_x0000_s16969" inset="0,0,0,0">
              <w:txbxContent>
                <w:p w:rsidR="00D63C62" w:rsidRDefault="00D63C62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63C62" w:rsidRDefault="00D63C62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70" o:spid="_x0000_s1029" type="#_x0000_t202" style="position:absolute;left:0;text-align:left;margin-left:385.45pt;margin-top:569.5pt;width:104.15pt;height:43.35pt;z-index:3;mso-position-horizontal-relative:page;mso-position-vertical-relative:page" stroked="f">
            <v:textbox style="mso-next-textbox:#_x0000_s16970" inset="0,0,0,0">
              <w:txbxContent>
                <w:p w:rsidR="00D63C62" w:rsidRDefault="00D63C62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63C62" w:rsidRDefault="00D63C62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71" o:spid="_x0000_s1030" type="#_x0000_t202" style="position:absolute;left:0;text-align:left;margin-left:91.45pt;margin-top:133.3pt;width:465.1pt;height:415.6pt;z-index:2;mso-position-horizontal-relative:page;mso-position-vertical-relative:page" stroked="f">
            <v:textbox style="mso-next-textbox:#_x0000_s1697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6"/>
                    <w:gridCol w:w="1325"/>
                    <w:gridCol w:w="1259"/>
                  </w:tblGrid>
                  <w:tr w:rsidR="00D63C62" w:rsidRPr="00D63C62">
                    <w:trPr>
                      <w:jc w:val="right"/>
                    </w:trPr>
                    <w:tc>
                      <w:tcPr>
                        <w:tcW w:w="4256" w:type="pct"/>
                        <w:gridSpan w:val="2"/>
                      </w:tcPr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אחרי סעיף 33 לחוק משפחות חיילים שנספו במערכה (תגמולים ושיקום), תש"י-</w:t>
                        </w:r>
                      </w:p>
                      <w:p w:rsidR="00D63C62" w:rsidRP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 1,  יבוא: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63C62" w:rsidRP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D63C62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(א) שר הכטחון, כהסכמת שר העבודה ובאישור ועדת העבודה של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להתקין תקנות בדבר חובת נותן עבודה להמשיך ולהעסיק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שעבד אצלו בתכוף לפני הגיעו לגיל הפרישה מהעבודה והוא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 לעבודה בהתאם לכללים שייקבעו בתקנות כאמור, במשך תקופה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תעלה על חמש שנים מיום הגיעו לגיל הפרישה ולא תעבור את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הגיעו לגיל 70, הכל כפי שייקבע בתקנות ובתנאים שייקבעו.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הממשיך בעבודה מכוח סעיף זה לא יפוטר ולא יחוייב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לפרוש מעבודתו במשך התקופה כאמור בסעיף קטן (א) אלא על-פי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של ועדת תעסוקה כמשמעותה בחוק החיילים המשוחררים (החזרה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לעבודה), תש"ט-1949 2,  שניתנה על יסוד נימוקים המתירים לפטר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מלחמה מכוח תקנות על-פי סעיף 31 לחוק האמור, בשינויים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שפוטר מעבודתו סמוך לפני הגיעו לגיל הפרישה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מהעבודה יחולו עליו הוראות סעיף זה כאילו הגיע אותה שעה לגיל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 זולת אם הוכח כי פיטוריו נעשו שלא כדי להימנע ממילוי הור-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סעיף זה.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 -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אלמנה או הורה של נספה, לרבות הורה חורג והורה מאמץ,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היה לנספה הורה מלידה והורה חורג או מאמץ, שניהם בני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מין אחד, לא יראו כהורה של נספה אלא אותו הורה שקצין התגמולים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כי זיקתו של הנספה לאותו הורה חזקה יותר;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"גיל הפרישה מעבודה" - הגיל שבו על עובד לפרוש מעבודתו מכוח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שבחיקוק, בהסכם קיבוצי או בחוזה עבודה, ובהעדר הוראה</w:t>
                        </w:r>
                      </w:p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החלה עליו - גיל 65 שנה בגבר ו-60 שנה באשה."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העסקת</w:t>
                        </w:r>
                      </w:p>
                      <w:p w:rsidR="00D63C62" w:rsidRP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גיל הפרישה</w:t>
                        </w:r>
                      </w:p>
                    </w:tc>
                    <w:tc>
                      <w:tcPr>
                        <w:tcW w:w="744" w:type="pct"/>
                      </w:tcPr>
                      <w:p w:rsidR="00D63C62" w:rsidRDefault="00D63C6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63C62" w:rsidRDefault="00D63C6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72" o:spid="_x0000_s1031" type="#_x0000_t202" style="position:absolute;left:0;text-align:left;margin-left:120.75pt;margin-top:81.4pt;width:342.75pt;height:49.7pt;z-index:1;mso-position-horizontal-relative:page;mso-position-vertical-relative:page" stroked="f">
            <v:textbox style="mso-next-textbox:#_x0000_s16972" inset="0,0,0,0">
              <w:txbxContent>
                <w:p w:rsidR="00D63C62" w:rsidRDefault="00D63C62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חוק משפחות חיילים שנספו במערכה (תגמולים ושיקום)</w:t>
                  </w:r>
                </w:p>
                <w:p w:rsidR="00D63C62" w:rsidRPr="00D63C62" w:rsidRDefault="00D63C62">
                  <w:pPr>
                    <w:pStyle w:val="OCRStyle1"/>
                    <w:ind w:left="165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10), תשל"ה-1974.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63C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C47988-E61E-4B9B-91AC-742A8C570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3C6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