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F70A5" w:rsidRDefault="004F70A5">
      <w:pPr>
        <w:rPr>
          <w:rtl/>
        </w:rPr>
      </w:pPr>
    </w:p>
    <w:p w:rsidR="004F70A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41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7410" inset="0,0,0,0">
              <w:txbxContent>
                <w:p w:rsidR="001C5F57" w:rsidRDefault="001C5F57">
                  <w:r>
                    <w:rPr>
                      <w:rtl/>
                    </w:rPr>
                    <w:t>192                                          ספר החוקים 812                  ה' בסיוון התשל"ו 03.06.1976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11" o:spid="_x0000_s1026" type="#_x0000_t202" style="position:absolute;left:0;text-align:left;margin-left:92.9pt;margin-top:662.85pt;width:391.85pt;height:85.95pt;z-index:3;mso-position-horizontal-relative:page;mso-position-vertical-relative:page" stroked="f">
            <v:textbox style="mso-next-textbox:#_x0000_s17411" inset="0,0,0,0">
              <w:txbxContent>
                <w:p w:rsidR="001C5F57" w:rsidRDefault="001C5F57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* נתקבל נכנסת ביום כ"ה באייר תשל"ו (25 במאי 1976); הצעת החוק ודברי הסבר פורסמו בה"ח 1219/ תשל"ו,</w:t>
                  </w:r>
                </w:p>
                <w:p w:rsidR="001C5F57" w:rsidRDefault="001C5F57">
                  <w:pPr>
                    <w:pStyle w:val="OCRStyle1"/>
                    <w:ind w:left="4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121.</w:t>
                  </w:r>
                </w:p>
                <w:p w:rsidR="001C5F57" w:rsidRDefault="001C5F57">
                  <w:pPr>
                    <w:pStyle w:val="OCRStyle1"/>
                    <w:ind w:left="37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תשל"ג, עמ' 329; תשל''ד, עמ' 108.</w:t>
                  </w:r>
                </w:p>
                <w:p w:rsidR="001C5F57" w:rsidRDefault="001C5F57">
                  <w:pPr>
                    <w:pStyle w:val="OCRStyle1"/>
                    <w:ind w:left="3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תשכ"א, עמ' 192.</w:t>
                  </w:r>
                </w:p>
                <w:p w:rsidR="001C5F57" w:rsidRPr="004F70A5" w:rsidRDefault="001C5F57">
                  <w:pPr>
                    <w:pStyle w:val="OCRStyle1"/>
                    <w:ind w:left="436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812, ה' בסיון תשל''ו, 3.6.1976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12" o:spid="_x0000_s1027" type="#_x0000_t202" style="position:absolute;left:0;text-align:left;margin-left:89.55pt;margin-top:96.6pt;width:471.85pt;height:562.9pt;z-index:2;mso-position-horizontal-relative:page;mso-position-vertical-relative:page" stroked="f">
            <v:textbox style="mso-next-textbox:#_x0000_s1741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3"/>
                    <w:gridCol w:w="1393"/>
                    <w:gridCol w:w="1213"/>
                  </w:tblGrid>
                  <w:tr w:rsidR="001C5F57" w:rsidRPr="004F70A5">
                    <w:trPr>
                      <w:jc w:val="right"/>
                    </w:trPr>
                    <w:tc>
                      <w:tcPr>
                        <w:tcW w:w="4293" w:type="pct"/>
                        <w:gridSpan w:val="2"/>
                      </w:tcPr>
                      <w:p w:rsidR="001C5F57" w:rsidRDefault="001C5F57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בפרק ט"ז לחוק הססנות (ימאים), תשל"ג-1973  1(להלן - החוק העיקרי), סימנים</w:t>
                        </w:r>
                      </w:p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עד ח' יסומנו כסדרם ו' עד ט' ולפניהם יבוא:</w:t>
                        </w:r>
                      </w:p>
                      <w:p w:rsidR="001C5F57" w:rsidRPr="004F70A5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ה': השעיה</w:t>
                        </w:r>
                      </w:p>
                    </w:tc>
                    <w:tc>
                      <w:tcPr>
                        <w:tcW w:w="707" w:type="pct"/>
                      </w:tcPr>
                      <w:p w:rsidR="001C5F57" w:rsidRDefault="001C5F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1C5F57" w:rsidRPr="004F70A5" w:rsidRDefault="001C5F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63וא עד 163ד</w:t>
                        </w:r>
                      </w:p>
                    </w:tc>
                  </w:tr>
                  <w:tr w:rsidR="001C5F57">
                    <w:trPr>
                      <w:jc w:val="right"/>
                    </w:trPr>
                    <w:tc>
                      <w:tcPr>
                        <w:tcW w:w="3481" w:type="pct"/>
                      </w:tcPr>
                      <w:p w:rsidR="001C5F57" w:rsidRDefault="001C5F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163 א. היו למנהל ראיות לכאורה למעשה או למחדל של ימאי שהם</w:t>
                        </w:r>
                      </w:p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משמעת לסי חוק זה, ולדעתו הם עלולים לערער את המשמעת</w:t>
                        </w:r>
                      </w:p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בכלי השיט או יש בהם סכנה ממשית לבטיחות כלי השיט או לאנשים</w:t>
                        </w:r>
                      </w:p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בו, רשאי הוא להשעותו מתפקיד מסויים בכלי שיט, או משירות בכלי</w:t>
                        </w:r>
                      </w:p>
                      <w:p w:rsidR="001C5F57" w:rsidRPr="004F70A5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 או כסוג מסויים של הפלגות, לתקופה שלא תעלה על ששים יום.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1C5F57" w:rsidRPr="004F70A5" w:rsidRDefault="001C5F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השעיה דחופה</w:t>
                        </w:r>
                      </w:p>
                    </w:tc>
                    <w:tc>
                      <w:tcPr>
                        <w:tcW w:w="707" w:type="pct"/>
                      </w:tcPr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C5F57">
                    <w:trPr>
                      <w:jc w:val="right"/>
                    </w:trPr>
                    <w:tc>
                      <w:tcPr>
                        <w:tcW w:w="3481" w:type="pct"/>
                      </w:tcPr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163ב. (א) אב בית הדין רשאי, על פי בקשת המושעה או התובע,</w:t>
                        </w:r>
                      </w:p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 השעיה לפי סימן זה, לשנות את תנאיה, לקצר את תקופתה או</w:t>
                        </w:r>
                      </w:p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להאריכה למועד שלא יהא אחרי תום תקופת הערעור על החלטת בית הדין</w:t>
                        </w:r>
                      </w:p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כתובענה על העכירה, ולמקרה שיוגש ערעור - אחרי המועד לגמר הליכי</w:t>
                        </w:r>
                      </w:p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הערעור; הוראה זו אינה גורעת מסמכותו של המנהל לבטל השעיה, לקצר</w:t>
                        </w:r>
                      </w:p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תקופתה או להגביל את תחולתה.</w:t>
                        </w:r>
                      </w:p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החלטת אב בית הדין לסי סימן זה יחול סעיף 171, כאילו</w:t>
                        </w:r>
                      </w:p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החלטת בית הדין.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1C5F57" w:rsidRDefault="001C5F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לבטל</w:t>
                        </w:r>
                      </w:p>
                      <w:p w:rsidR="001C5F57" w:rsidRDefault="001C5F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השעיה ולקצר או</w:t>
                        </w:r>
                      </w:p>
                      <w:p w:rsidR="001C5F57" w:rsidRPr="004F70A5" w:rsidRDefault="001C5F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להאריך תקופתה</w:t>
                        </w:r>
                      </w:p>
                    </w:tc>
                    <w:tc>
                      <w:tcPr>
                        <w:tcW w:w="707" w:type="pct"/>
                      </w:tcPr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C5F57">
                    <w:trPr>
                      <w:jc w:val="right"/>
                    </w:trPr>
                    <w:tc>
                      <w:tcPr>
                        <w:tcW w:w="3481" w:type="pct"/>
                      </w:tcPr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163ג. הושעה ימאי לסי סימן זה לפני שהוגשה לבית הדין תובענה על</w:t>
                        </w:r>
                      </w:p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העבירה, ולא הוגשה התובענה תוך ששים יום מתחילת ההשעיה, בטלה</w:t>
                        </w:r>
                      </w:p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ההשעיה.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1C5F57" w:rsidRDefault="001C5F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השניה</w:t>
                        </w:r>
                      </w:p>
                      <w:p w:rsidR="001C5F57" w:rsidRDefault="001C5F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עקב העדר</w:t>
                        </w:r>
                      </w:p>
                      <w:p w:rsidR="001C5F57" w:rsidRPr="004F70A5" w:rsidRDefault="001C5F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תיגענה</w:t>
                        </w:r>
                      </w:p>
                    </w:tc>
                    <w:tc>
                      <w:tcPr>
                        <w:tcW w:w="707" w:type="pct"/>
                      </w:tcPr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C5F57">
                    <w:trPr>
                      <w:jc w:val="right"/>
                    </w:trPr>
                    <w:tc>
                      <w:tcPr>
                        <w:tcW w:w="3481" w:type="pct"/>
                      </w:tcPr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163ד. (א) הושעה אדם לפי סימן זה בשל מעשה או מחדל פלוני, על</w:t>
                        </w:r>
                      </w:p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סמך תלונה של בעל כלי שיט או קברניטו או בדרך אחרת מטעם בעל</w:t>
                        </w:r>
                      </w:p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השיט, וזוכה בבית הדין מהעבירות שבאותו מעשה או מחדל, רשאי</w:t>
                        </w:r>
                      </w:p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הדין, אם ראה שהתלונה הוגשה בקלות ראש או ללא יסוד, לחייב</w:t>
                        </w:r>
                      </w:p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בעל כלי השיט או הקברניט או שניהם כאחד, לשלם לנדון סכום שלא</w:t>
                        </w:r>
                      </w:p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שכר העבודה שהיה משתלם לו בעד עבודתו בכלי השיט לולא</w:t>
                        </w:r>
                      </w:p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הושעה, בצירוף ריבית בשיעור שלא יעלה על הקבוע לענין חוק פסיקת</w:t>
                        </w:r>
                      </w:p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ריבית, תשכ"א-1961 2, החל מהמועד שבו היה מגיע אותו שכר ועד</w:t>
                        </w:r>
                      </w:p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לתשלומו בפועל.</w:t>
                        </w:r>
                      </w:p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בתקופת ההשעיה - אך לא אחרי תום התקופה שנקבעה</w:t>
                        </w:r>
                      </w:p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לשירותו של הימאי בחוזה השירות או על פיו - ישלם בעל כלי השיט</w:t>
                        </w:r>
                      </w:p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לימאי המושעה מחצית השכר שהיה משתלם לו לולא הושעה, כתשלום</w:t>
                        </w:r>
                      </w:p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 ובכפוף להחלטה הסופית של בית הדין לפי סעיף קטן (א);</w:t>
                        </w:r>
                      </w:p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לימאי בתקופת ההשעיה הכנסות מעבודה או מעסק העולות על</w:t>
                        </w:r>
                      </w:p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מלוא השכר שהיה משתלם לו לולא הושעה, ינוכה העודף מהתשלום הזמני</w:t>
                        </w:r>
                      </w:p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זה; הוראות סעיף קטן זה לא יגרעו מהוראות הסכם קיבוצי</w:t>
                        </w:r>
                      </w:p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החלות על העסקת הימאי.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1C5F57" w:rsidRPr="004F70A5" w:rsidRDefault="001C5F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 הנדון</w:t>
                        </w:r>
                      </w:p>
                    </w:tc>
                    <w:tc>
                      <w:tcPr>
                        <w:tcW w:w="707" w:type="pct"/>
                      </w:tcPr>
                      <w:p w:rsidR="001C5F57" w:rsidRDefault="001C5F5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C5F57" w:rsidRDefault="001C5F5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413" o:spid="_x0000_s1028" type="#_x0000_t202" style="position:absolute;left:0;text-align:left;margin-left:133.3pt;margin-top:73pt;width:292.45pt;height:23.55pt;z-index:1;mso-position-horizontal-relative:page;mso-position-vertical-relative:page" stroked="f">
            <v:textbox style="mso-next-textbox:#_x0000_s17413" inset="0,0,0,0">
              <w:txbxContent>
                <w:p w:rsidR="001C5F57" w:rsidRPr="004F70A5" w:rsidRDefault="001C5F57">
                  <w:pPr>
                    <w:pStyle w:val="OCRStyle1"/>
                    <w:ind w:left="313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חוק הספנות (ימאים) (תיקון מס' 2), תשל"ו-1976 .</w:t>
                  </w:r>
                </w:p>
              </w:txbxContent>
            </v:textbox>
            <w10:wrap anchorx="page" anchory="page"/>
          </v:shape>
        </w:pict>
      </w:r>
    </w:p>
    <w:p w:rsidR="001C5F57" w:rsidRDefault="001C5F57">
      <w:pPr>
        <w:rPr>
          <w:rtl/>
        </w:rPr>
      </w:pPr>
      <w:r>
        <w:rPr>
          <w:rtl/>
        </w:rPr>
        <w:br w:type="page"/>
      </w:r>
    </w:p>
    <w:p w:rsidR="001C5F57" w:rsidRDefault="00000000">
      <w:pPr>
        <w:rPr>
          <w:rtl/>
        </w:rPr>
      </w:pPr>
      <w:r>
        <w:pict>
          <v:shape id="_x0000_s17414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7414" inset="0,0,0,0">
              <w:txbxContent>
                <w:p w:rsidR="001C5F57" w:rsidRDefault="001C5F57">
                  <w:r>
                    <w:rPr>
                      <w:rtl/>
                    </w:rPr>
                    <w:t>193                                          ספר החוקים 812                  ה' בסיוון התשל"ו 03.06.1976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15" o:spid="_x0000_s1030" type="#_x0000_t202" style="position:absolute;left:0;text-align:left;margin-left:184.85pt;margin-top:301.9pt;width:81.75pt;height:49.7pt;z-index:8;mso-position-horizontal-relative:page;mso-position-vertical-relative:page" stroked="f">
            <v:textbox style="mso-next-textbox:#_x0000_s17415" inset="0,0,0,0">
              <w:txbxContent>
                <w:p w:rsidR="001C5F57" w:rsidRDefault="001C5F57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גד יעקכי</w:t>
                  </w:r>
                </w:p>
                <w:p w:rsidR="001C5F57" w:rsidRDefault="001C5F57">
                  <w:pPr>
                    <w:pStyle w:val="OCRStyle2"/>
                    <w:ind w:left="194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16" o:spid="_x0000_s1031" type="#_x0000_t202" style="position:absolute;left:0;text-align:left;margin-left:301.85pt;margin-top:310.45pt;width:90.3pt;height:34.45pt;z-index:7;mso-position-horizontal-relative:page;mso-position-vertical-relative:page" stroked="f">
            <v:textbox style="mso-next-textbox:#_x0000_s17416" inset="0,0,0,0">
              <w:txbxContent>
                <w:p w:rsidR="001C5F57" w:rsidRDefault="001C5F57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C5F57" w:rsidRDefault="001C5F57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17" o:spid="_x0000_s1032" type="#_x0000_t202" style="position:absolute;left:0;text-align:left;margin-left:452.75pt;margin-top:336.55pt;width:95.25pt;height:40.4pt;z-index:6;mso-position-horizontal-relative:page;mso-position-vertical-relative:page" stroked="f">
            <v:textbox style="mso-next-textbox:#_x0000_s17417" inset="0,0,0,0">
              <w:txbxContent>
                <w:p w:rsidR="001C5F57" w:rsidRDefault="001C5F57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אסרים קציר</w:t>
                  </w:r>
                </w:p>
                <w:p w:rsidR="001C5F57" w:rsidRDefault="001C5F57">
                  <w:pPr>
                    <w:pStyle w:val="OCRStyle2"/>
                    <w:ind w:left="31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18" o:spid="_x0000_s1033" type="#_x0000_t202" style="position:absolute;left:0;text-align:left;margin-left:98.9pt;margin-top:69.45pt;width:452.45pt;height:222.35pt;z-index:5;mso-position-horizontal-relative:page;mso-position-vertical-relative:page" stroked="f">
            <v:textbox style="mso-next-textbox:#_x0000_s1741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1"/>
                    <w:gridCol w:w="5827"/>
                    <w:gridCol w:w="1278"/>
                  </w:tblGrid>
                  <w:tr w:rsidR="001C5F57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1C5F57" w:rsidRDefault="001C5F5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2" w:type="pct"/>
                      </w:tcPr>
                      <w:p w:rsidR="001C5F57" w:rsidRDefault="001C5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ישתמש בית הדין בסמכות לסי סעיף זה אלא לטי בקשת</w:t>
                        </w:r>
                      </w:p>
                      <w:p w:rsidR="001C5F57" w:rsidRDefault="001C5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הימאי ולאחר שנתן לנוגעים בדבר הזדמנות נאותה לטעון טענותיהם.</w:t>
                        </w:r>
                      </w:p>
                      <w:p w:rsidR="001C5F57" w:rsidRDefault="001C5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גד) מי שחוייב בתשלום לסי סעיף זה, רשאי לערער על החיוב,</w:t>
                        </w:r>
                      </w:p>
                      <w:p w:rsidR="001C5F57" w:rsidRDefault="001C5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וסעיפים 171 ו-172 יחולו בשינויים המחוייבים. </w:t>
                        </w:r>
                      </w:p>
                      <w:p w:rsidR="001C5F57" w:rsidRDefault="001C5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חיוב לסי סעיף זה, דינו לענין הוצאתו לסועל כדץ ססק דין</w:t>
                        </w:r>
                      </w:p>
                      <w:p w:rsidR="001C5F57" w:rsidRDefault="001C5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המשסט לטובת הימאי נגד מי שחוייב."</w:t>
                        </w:r>
                      </w:p>
                    </w:tc>
                    <w:tc>
                      <w:tcPr>
                        <w:tcW w:w="777" w:type="pct"/>
                      </w:tcPr>
                      <w:p w:rsidR="001C5F57" w:rsidRDefault="001C5F5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1C5F57" w:rsidRPr="001C5F57">
                    <w:trPr>
                      <w:jc w:val="right"/>
                    </w:trPr>
                    <w:tc>
                      <w:tcPr>
                        <w:tcW w:w="681" w:type="pct"/>
                        <w:vMerge w:val="restart"/>
                      </w:tcPr>
                      <w:p w:rsidR="001C5F57" w:rsidRDefault="001C5F5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</w:t>
                        </w:r>
                      </w:p>
                      <w:p w:rsidR="001C5F57" w:rsidRPr="001C5F57" w:rsidRDefault="001C5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165א</w:t>
                        </w:r>
                      </w:p>
                    </w:tc>
                    <w:tc>
                      <w:tcPr>
                        <w:tcW w:w="4319" w:type="pct"/>
                        <w:gridSpan w:val="2"/>
                      </w:tcPr>
                      <w:p w:rsidR="001C5F57" w:rsidRPr="001C5F57" w:rsidRDefault="001C5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185 לחוק העיקרי יבוא:</w:t>
                        </w:r>
                      </w:p>
                    </w:tc>
                  </w:tr>
                  <w:tr w:rsidR="001C5F57" w:rsidRPr="001C5F57">
                    <w:trPr>
                      <w:jc w:val="right"/>
                    </w:trPr>
                    <w:tc>
                      <w:tcPr>
                        <w:tcW w:w="681" w:type="pct"/>
                        <w:vMerge/>
                      </w:tcPr>
                      <w:p w:rsidR="001C5F57" w:rsidRDefault="001C5F5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2" w:type="pct"/>
                      </w:tcPr>
                      <w:p w:rsidR="001C5F57" w:rsidRDefault="001C5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185 א. הסוסל ימאי לתקוסה קצובה בהליכים משמעתיים לסי חוק זה,</w:t>
                        </w:r>
                      </w:p>
                      <w:p w:rsidR="001C5F57" w:rsidRDefault="001C5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לקבוע אגב כך שתובא במנין תקוסת הפסילה, כולה או מקצתה,</w:t>
                        </w:r>
                      </w:p>
                      <w:p w:rsidR="001C5F57" w:rsidRDefault="001C5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התקוסה שבה היה הימאי מושעה בשל העבירה שבגללה נססל, או נבצר</w:t>
                        </w:r>
                      </w:p>
                      <w:p w:rsidR="001C5F57" w:rsidRDefault="001C5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כדרך אחרת, לשרת בכלי השיט כתוצאה מהליכים שננקטו נגדו</w:t>
                        </w:r>
                      </w:p>
                      <w:p w:rsidR="001C5F57" w:rsidRDefault="001C5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העבירה."</w:t>
                        </w:r>
                      </w:p>
                    </w:tc>
                    <w:tc>
                      <w:tcPr>
                        <w:tcW w:w="777" w:type="pct"/>
                      </w:tcPr>
                      <w:p w:rsidR="001C5F57" w:rsidRDefault="001C5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"מנין תקופת</w:t>
                        </w:r>
                      </w:p>
                      <w:p w:rsidR="001C5F57" w:rsidRPr="001C5F57" w:rsidRDefault="001C5F5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הפסילה</w:t>
                        </w:r>
                      </w:p>
                    </w:tc>
                  </w:tr>
                </w:tbl>
                <w:p w:rsidR="001C5F57" w:rsidRDefault="001C5F5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F70A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7C4A681-0442-4BE8-81B1-844698385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F70A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C5F5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2008-04-06T22:42:00Z</dcterms:created>
  <dcterms:modified xsi:type="dcterms:W3CDTF">2008-04-06T22:42:00Z</dcterms:modified>
</cp:coreProperties>
</file>