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4F8F" w:rsidRDefault="00744F8F">
      <w:pPr>
        <w:rPr>
          <w:rtl/>
        </w:rPr>
      </w:pPr>
    </w:p>
    <w:p w:rsidR="00744F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63" inset="0,0,0,0">
              <w:txbxContent>
                <w:p w:rsidR="006665F1" w:rsidRDefault="006665F1">
                  <w:r>
                    <w:rPr>
                      <w:rtl/>
                    </w:rPr>
                    <w:t>75                                           ספר החוקים 760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4" o:spid="_x0000_s1026" type="#_x0000_t202" style="position:absolute;left:0;text-align:left;margin-left:163.55pt;margin-top:665.05pt;width:391.05pt;height:69.3pt;z-index:3;mso-position-horizontal-relative:page;mso-position-vertical-relative:page" stroked="f">
            <v:textbox style="mso-next-textbox:#_x0000_s17464" inset="0,0,0,0">
              <w:txbxContent>
                <w:p w:rsidR="006665F1" w:rsidRDefault="006665F1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ביוט כ"ב בשבט תשל"ה (3 בפברואר 1975); הצעת החוק ודברי הסבר פורסמו בח"ח 1103, תשל"ד,</w:t>
                  </w:r>
                </w:p>
                <w:p w:rsidR="006665F1" w:rsidRDefault="006665F1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עמ' 80.</w:t>
                  </w:r>
                </w:p>
                <w:p w:rsidR="006665F1" w:rsidRPr="00744F8F" w:rsidRDefault="006665F1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1 ס"ח תשכ"ט, עמי 132, תשל"א, עמ' 178. ,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5" o:spid="_x0000_s1027" type="#_x0000_t202" style="position:absolute;left:0;text-align:left;margin-left:91.65pt;margin-top:101.9pt;width:455.4pt;height:546.3pt;z-index:2;mso-position-horizontal-relative:page;mso-position-vertical-relative:page" stroked="f">
            <v:textbox style="mso-next-textbox:#_x0000_s174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5624"/>
                    <w:gridCol w:w="1368"/>
                  </w:tblGrid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הסעד (טיפול במפגרים), תשכ"ט-1969  1(להלן - החוק העיקרי), בסעיף 1 -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"מעון" יבוא: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""מעון נעול" - מקום המשמש מגורים או משמורת למפגרים מחוץ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למשפחתם, וחופש המוחזקים בו מוגבל, ושר הסעד הכריז שהוא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מעון נעול לענין חוק זה; "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"בית משפט", בסופה, יבוא "ולענין סעיפים 19א עד 19ט -</w:t>
                        </w:r>
                      </w:p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המוסמך".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 לחוק העיקרי, אחרי "לפי חוק זה" יבוא "למעט לפי סעיפים 19א עד 19ט".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19 לחוק העיקרי, בסופו יבוא "אלא כפי שנקבע בסעיפים 19א עד 19ט".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הוס&amp;ת סעיפים</w:t>
                        </w:r>
                      </w:p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 ער 19ט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19 לחוק העיקרי יבוא: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ציווה בית משפט על מעצרו של אדם ושוכנע שהעצור הוא מפגר,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שיוחזק במעצר נפרד ככל האפשר או במעון נעול, זולת אם סבר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שטובת העצור אינה מחייבת זאת, אולם לא יועבר עצור למעון נעול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גמר החקירה.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'מעצר מפגר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הועמד אדם לדין פלילי ובית המשפט מצא, אם על פי ראיות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לפניו מטעם אחד מבעלי הדין ואם על פי ראיות שהובאו לפניו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ביזמתו שלו, אחת מאלה: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שהנאשם אינו מסוגל לעמוד לדין מחמת ליקוי בכשרו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השכלי;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שהנאשם עשה את מעשה העבירה שהואשם בו, אך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ליקוי בכשרו השכלי בשעת מעשה אין הוא בר עונשין,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המשפט שהנאשם יובא לפני ועדת האבחון כדי שתחליט על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הטיפול בו, ויחולו הוראות חוק זה בשינויים המחוייבים.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בנאשם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לוקה בשכלו או</w:t>
                        </w:r>
                      </w:p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בר עונשין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הורשע אדם ובית המשפט מצא שיש ליקוי בכשרו השכלי, רשאי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במקום לגזור את דינו, לצוות שיובא לפני ועדת האבחון כדי שתח-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 על דרכי הטיפול בו; החליט בית משפט כאמור, יחולו הוראות חוק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בשינויים המחוייבים.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בלוקה</w:t>
                        </w:r>
                      </w:p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בשכלו שהורשע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19ד. נידון אדם למאסר ומצא בית המשפט שהוא מפגר, רשאי הוא, לפי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האדם, כקשת האחראי עליו או בקשת התובע, לצוות שישא מאסרו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במעון נעול.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במפגר ,</w:t>
                        </w:r>
                      </w:p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במאסר</w:t>
                        </w:r>
                      </w:p>
                    </w:tc>
                  </w:tr>
                  <w:tr w:rsidR="006665F1" w:rsidRPr="00744F8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19ה. כדי לאפשר לבית המשפט להכריע אם יש מקום ליתן צו לפי סעיפים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.19א עד 19ד, רשאי הוא להורות, לפי בקשת בעל דין או מיזמתו שלו,</w:t>
                        </w:r>
                      </w:p>
                      <w:p w:rsidR="006665F1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שהאדם יובא לפני ועדת האבחון כדי שתתן חוות דעתה על מצבו.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6665F1" w:rsidRPr="00744F8F" w:rsidRDefault="00666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בדיקה</w:t>
                        </w:r>
                      </w:p>
                    </w:tc>
                  </w:tr>
                </w:tbl>
                <w:p w:rsidR="006665F1" w:rsidRDefault="006665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66" o:spid="_x0000_s1028" type="#_x0000_t202" style="position:absolute;left:0;text-align:left;margin-left:178.6pt;margin-top:71.8pt;width:349.25pt;height:23.35pt;z-index:1;mso-position-horizontal-relative:page;mso-position-vertical-relative:page" stroked="f">
            <v:textbox style="mso-next-textbox:#_x0000_s17466" inset="0,0,0,0">
              <w:txbxContent>
                <w:p w:rsidR="006665F1" w:rsidRPr="00744F8F" w:rsidRDefault="006665F1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הסעד (טיפול במפגרים) (תיקון מס' 2), תשל"ה-1975 *</w:t>
                  </w:r>
                </w:p>
              </w:txbxContent>
            </v:textbox>
            <w10:wrap anchorx="page" anchory="page"/>
          </v:shape>
        </w:pict>
      </w:r>
    </w:p>
    <w:p w:rsidR="006665F1" w:rsidRDefault="006665F1">
      <w:pPr>
        <w:rPr>
          <w:rtl/>
        </w:rPr>
      </w:pPr>
      <w:r>
        <w:rPr>
          <w:rtl/>
        </w:rPr>
        <w:br w:type="page"/>
      </w:r>
    </w:p>
    <w:p w:rsidR="006665F1" w:rsidRDefault="00000000">
      <w:pPr>
        <w:rPr>
          <w:rtl/>
        </w:rPr>
      </w:pPr>
      <w:r>
        <w:pict>
          <v:shape id="_x0000_s1746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467" inset="0,0,0,0">
              <w:txbxContent>
                <w:p w:rsidR="006665F1" w:rsidRDefault="006665F1">
                  <w:r>
                    <w:rPr>
                      <w:rtl/>
                    </w:rPr>
                    <w:t>76                                           ספר החוקים 760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8" o:spid="_x0000_s1030" type="#_x0000_t202" style="position:absolute;left:0;text-align:left;margin-left:86pt;margin-top:459.6pt;width:376.6pt;height:271.45pt;z-index:9;mso-position-horizontal-relative:page;mso-position-vertical-relative:page" stroked="f">
            <v:textbox style="mso-next-textbox:#_x0000_s17468" inset="0,0,0,0">
              <w:txbxContent>
                <w:p w:rsidR="006665F1" w:rsidRDefault="006665F1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2 דיני-מדינת ישראל/ נוסח-חדש 21, עמ' 459.</w:t>
                  </w:r>
                </w:p>
                <w:p w:rsidR="006665F1" w:rsidRDefault="006665F1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3 ס"ח תשכ"ה, עמ' .161</w:t>
                  </w:r>
                </w:p>
                <w:p w:rsidR="006665F1" w:rsidRPr="006665F1" w:rsidRDefault="006665F1">
                  <w:pPr>
                    <w:pStyle w:val="OCRStyle2"/>
                    <w:ind w:left="4637"/>
                  </w:pPr>
                  <w:r>
                    <w:rPr>
                      <w:rtl/>
                    </w:rPr>
                    <w:t>/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69" o:spid="_x0000_s1031" type="#_x0000_t202" style="position:absolute;left:0;text-align:left;margin-left:100.1pt;margin-top:378.6pt;width:112.85pt;height:37.4pt;z-index:8;mso-position-horizontal-relative:page;mso-position-vertical-relative:page" stroked="f">
            <v:textbox style="mso-next-textbox:#_x0000_s17469" inset="0,0,0,0">
              <w:txbxContent>
                <w:p w:rsidR="006665F1" w:rsidRDefault="006665F1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6665F1" w:rsidRDefault="006665F1">
                  <w:pPr>
                    <w:pStyle w:val="OCRStyle2"/>
                    <w:ind w:left="594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0" o:spid="_x0000_s1032" type="#_x0000_t202" style="position:absolute;left:0;text-align:left;margin-left:237.9pt;margin-top:378.6pt;width:84.55pt;height:38.4pt;z-index:7;mso-position-horizontal-relative:page;mso-position-vertical-relative:page" stroked="f">
            <v:textbox style="mso-next-textbox:#_x0000_s17470" inset="0,0,0,0">
              <w:txbxContent>
                <w:p w:rsidR="006665F1" w:rsidRDefault="006665F1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6665F1" w:rsidRDefault="006665F1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1" o:spid="_x0000_s1033" type="#_x0000_t202" style="position:absolute;left:0;text-align:left;margin-left:375.9pt;margin-top:401.95pt;width:109.3pt;height:42.55pt;z-index:6;mso-position-horizontal-relative:page;mso-position-vertical-relative:page" stroked="f">
            <v:textbox style="mso-next-textbox:#_x0000_s17471" inset="0,0,0,0">
              <w:txbxContent>
                <w:p w:rsidR="006665F1" w:rsidRDefault="006665F1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665F1" w:rsidRDefault="006665F1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.נשיא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2" o:spid="_x0000_s1034" type="#_x0000_t202" style="position:absolute;left:0;text-align:left;margin-left:86pt;margin-top:66.95pt;width:462.75pt;height:286.5pt;z-index:5;mso-position-horizontal-relative:page;mso-position-vertical-relative:page" stroked="f">
            <v:textbox style="mso-next-textbox:#_x0000_s174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1"/>
                    <w:gridCol w:w="1368"/>
                    <w:gridCol w:w="1163"/>
                  </w:tblGrid>
                  <w:tr w:rsidR="006665F1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19ו. בהליכים לפני ועדת אבחון לסי סעיפים 19כ או 19ג רשאי תובע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דברו לפי סעיף 7 ולערור לפי סעיף 8 על ההחלטה.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תובע</w:t>
                        </w:r>
                      </w:p>
                    </w:tc>
                    <w:tc>
                      <w:tcPr>
                        <w:tcW w:w="691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665F1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19ז. החלטת בית משפט לפי סעיפים 19א עד 19ה ניתנת לערעור כפסק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בפלילים.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691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665F1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19ח. צו לפי סעיפים 19א עד 19ה ישמש אסמכתה למשטרה להביא את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שעליו ניתן הצו בהתאם לצו, אלא שצו לפי סעיף 19ה לגבי אדם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עצור או אסיר יבוצע בידי פקיד סעד, אם לא הורה בית -המשפט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הצווים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665F1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19ט. עצור או אסיר שניתן עליו צו לפי סעיפים 19א, 19ד או 19ה יראוהו,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שהוא מוחזק במעון או במעון נעול או בעת שהוא נתון בבדיקה,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נמצא במשמורת כדין, ויחולו עליו הוראות סעיפים 18 ו-19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בתי הסוהר ננוסח חדש], תשל"ב1972,  2בשינויים המחוייבים."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משמורת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6665F1" w:rsidRPr="006665F1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בחוק סדר הדין הפלילי, תשכ"ה-1965  3,בסעיף 152א (א), אחרי "לפי סעיף 6 (א)</w:t>
                        </w:r>
                      </w:p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לטיפול בחולי נפש, תשט"ו-1955", יבוא "או לפי סעיף 19ב (1) לחוק הסעד (טיפול</w:t>
                        </w:r>
                      </w:p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במפגרים), תשכ"ט-1969".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</w:tr>
                  <w:tr w:rsidR="006665F1" w:rsidRPr="006665F1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6. חוק זה תחילתו ביום כ"ב בתמוז תשל"ה (1 ביולי 1975).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6665F1" w:rsidRPr="006665F1" w:rsidRDefault="006665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665F1" w:rsidRDefault="006665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4F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738C9A-4195-4A0C-A4B8-7DA99617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4F8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665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2008-04-06T22:19:00Z</dcterms:created>
  <dcterms:modified xsi:type="dcterms:W3CDTF">2008-04-06T22:19:00Z</dcterms:modified>
</cp:coreProperties>
</file>