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54BA7" w:rsidRDefault="00854BA7">
      <w:pPr>
        <w:rPr>
          <w:rtl/>
        </w:rPr>
      </w:pPr>
    </w:p>
    <w:p w:rsidR="00854BA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1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10" inset="0,0,0,0">
              <w:txbxContent>
                <w:p w:rsidR="00854BA7" w:rsidRDefault="00854BA7">
                  <w:r>
                    <w:rPr>
                      <w:rtl/>
                    </w:rPr>
                    <w:t>28                                           ספר החוקים 584                 י"ג באדר א' התש"ל 19.02.1970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1" o:spid="_x0000_s1026" type="#_x0000_t202" style="position:absolute;left:0;text-align:left;margin-left:88.25pt;margin-top:615.5pt;width:395pt;height:124.15pt;z-index:6;mso-wrap-style:none;mso-position-horizontal-relative:page;mso-position-vertical-relative:page" stroked="f">
            <v:textbox style="mso-next-textbox:#_x0000_s1211" inset="0,0,0,0">
              <w:txbxContent>
                <w:p w:rsidR="00854BA7" w:rsidRDefault="00854BA7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באדר א' תש"ל (11 בפברואר 1970); הצעת החוק ודברי הטבר פורסמו בה"ח 838, תשכ"ט,</w:t>
                  </w:r>
                </w:p>
                <w:p w:rsidR="00854BA7" w:rsidRDefault="00854BA7">
                  <w:pPr>
                    <w:pStyle w:val="OCRStyle1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259.</w:t>
                  </w:r>
                </w:p>
                <w:p w:rsidR="00854BA7" w:rsidRDefault="00854BA7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1937, תוס' 1, עמ' 121 ;ס"ח תש"י, עמ' 261; תשי"ז/ עמ' 54; תשי"ח/ עמ' 190; תש"ך/ עמי 54.</w:t>
                  </w:r>
                </w:p>
                <w:p w:rsidR="00854BA7" w:rsidRPr="00854BA7" w:rsidRDefault="00854BA7">
                  <w:pPr>
                    <w:pStyle w:val="OCRStyle1"/>
                    <w:ind w:left="437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2" o:spid="_x0000_s1027" type="#_x0000_t202" style="position:absolute;left:0;text-align:left;margin-left:99.7pt;margin-top:219.5pt;width:122.95pt;height:39.6pt;z-index:5;mso-wrap-style:none;mso-position-horizontal-relative:page;mso-position-vertical-relative:page" stroked="f">
            <v:textbox style="mso-next-textbox:#_x0000_s1212" inset="0,0,0,0">
              <w:txbxContent>
                <w:p w:rsidR="00854BA7" w:rsidRDefault="00854BA7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854BA7" w:rsidRDefault="00854BA7">
                  <w:pPr>
                    <w:pStyle w:val="OCRStyle1"/>
                    <w:ind w:left="51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3" o:spid="_x0000_s1028" type="#_x0000_t202" style="position:absolute;left:0;text-align:left;margin-left:240.3pt;margin-top:226.8pt;width:102.15pt;height:31.3pt;z-index:4;mso-wrap-style:none;mso-position-horizontal-relative:page;mso-position-vertical-relative:page" stroked="f">
            <v:textbox style="mso-next-textbox:#_x0000_s1213" inset="0,0,0,0">
              <w:txbxContent>
                <w:p w:rsidR="00854BA7" w:rsidRDefault="00854BA7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854BA7" w:rsidRDefault="00854BA7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4" o:spid="_x0000_s1029" type="#_x0000_t202" style="position:absolute;left:0;text-align:left;margin-left:350.8pt;margin-top:248.8pt;width:142.75pt;height:44.75pt;z-index:3;mso-wrap-style:none;mso-position-horizontal-relative:page;mso-position-vertical-relative:page" stroked="f">
            <v:textbox style="mso-next-textbox:#_x0000_s1214" inset="0,0,0,0">
              <w:txbxContent>
                <w:p w:rsidR="00854BA7" w:rsidRDefault="00854BA7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54BA7" w:rsidRDefault="00854BA7">
                  <w:pPr>
                    <w:pStyle w:val="OCRStyle1"/>
                    <w:ind w:left="8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5" o:spid="_x0000_s1030" type="#_x0000_t202" style="position:absolute;left:0;text-align:left;margin-left:81.9pt;margin-top:114.35pt;width:472.05pt;height:89.5pt;z-index:2;mso-wrap-style:none;mso-position-horizontal-relative:page;mso-position-vertical-relative:page" stroked="f">
            <v:textbox style="mso-next-textbox:#_x0000_s1215" inset="0,0,0,0">
              <w:txbxContent>
                <w:tbl>
                  <w:tblPr>
                    <w:tblW w:w="50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6"/>
                    <w:gridCol w:w="1285"/>
                  </w:tblGrid>
                  <w:tr w:rsidR="00854BA7" w:rsidRPr="00854BA7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854BA7" w:rsidRDefault="00854BA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3 לפקודת העבריינים הצעירים, 1937 1, אחרי סעיף קטן (1) יבוא:</w:t>
                        </w:r>
                      </w:p>
                      <w:p w:rsidR="00854BA7" w:rsidRDefault="0085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קטין כאמור בסעיף קטן (1) יובא לפני בית המשפט המוסמך לדון</w:t>
                        </w:r>
                      </w:p>
                      <w:p w:rsidR="00854BA7" w:rsidRDefault="0085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בסוג העבירה שבה נאשם הקטין; אך רשאי שר המשפטים, על אף האמור</w:t>
                        </w:r>
                      </w:p>
                      <w:p w:rsidR="00854BA7" w:rsidRDefault="0085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דין, להסמיך, בצו, בית משפט שלום לדון קטינים על פשעים שלפי</w:t>
                        </w:r>
                      </w:p>
                      <w:p w:rsidR="00854BA7" w:rsidRPr="00854BA7" w:rsidRDefault="00854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המפורטים בצו."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854BA7" w:rsidRPr="00854BA7" w:rsidRDefault="00854B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854BA7" w:rsidRDefault="00854B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16" o:spid="_x0000_s1031" type="#_x0000_t202" style="position:absolute;left:0;text-align:left;margin-left:109.05pt;margin-top:69.4pt;width:353.25pt;height:36.65pt;z-index:1;mso-wrap-style:none;mso-position-horizontal-relative:page;mso-position-vertical-relative:page" stroked="f">
            <v:textbox style="mso-next-textbox:#_x0000_s1216" inset="0,0,0,0">
              <w:txbxContent>
                <w:p w:rsidR="00854BA7" w:rsidRPr="00854BA7" w:rsidRDefault="00854BA7">
                  <w:pPr>
                    <w:pStyle w:val="OCRStyle1"/>
                    <w:ind w:left="15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העבריינים הצעירים (מס' 5), תש"ל-1970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54BA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E485737-2BEA-4B51-9E6F-CE179B91C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54BA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2008-04-09T14:39:00Z</dcterms:created>
  <dcterms:modified xsi:type="dcterms:W3CDTF">2008-04-09T14:40:00Z</dcterms:modified>
</cp:coreProperties>
</file>