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3CCD" w:rsidRDefault="005A3CCD">
      <w:pPr>
        <w:rPr>
          <w:rtl/>
        </w:rPr>
      </w:pPr>
    </w:p>
    <w:p w:rsidR="005A3CC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56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569" inset="0,0,0,0">
              <w:txbxContent>
                <w:p w:rsidR="00111D6C" w:rsidRDefault="00111D6C">
                  <w:r>
                    <w:rPr>
                      <w:rtl/>
                    </w:rPr>
                    <w:t>260                                          ספר החוקים 712                     ה' באב התשל"ג 03.08.1973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70" o:spid="_x0000_s1026" type="#_x0000_t202" style="position:absolute;left:0;text-align:left;margin-left:91.7pt;margin-top:661.1pt;width:380.55pt;height:95.45pt;z-index:3;mso-position-horizontal-relative:page;mso-position-vertical-relative:page" stroked="f">
            <v:textbox style="mso-next-textbox:#_x0000_s17570" inset="0,0,0,0">
              <w:txbxContent>
                <w:p w:rsidR="00111D6C" w:rsidRDefault="00111D6C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בחמת תשל"ג (24 ביולי 1973):הצעת החוק ודברי הסבר פורסמו בה"ח 1070, תשל"ג,</w:t>
                  </w:r>
                </w:p>
                <w:p w:rsidR="00111D6C" w:rsidRDefault="00111D6C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350.</w:t>
                  </w:r>
                </w:p>
                <w:p w:rsidR="00111D6C" w:rsidRDefault="00111D6C">
                  <w:pPr>
                    <w:pStyle w:val="OCRStyle1"/>
                    <w:ind w:left="2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 ס''ח תשי"ד, עמ' 154; תשכ"ג, עמ' 133; תשכ"ד, עמ' 196; תשל"ב עמ' 119. </w:t>
                  </w:r>
                </w:p>
                <w:p w:rsidR="00111D6C" w:rsidRDefault="00111D6C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תשכ"ח, עמ' 108; תשל"ב, עמ' 128.</w:t>
                  </w:r>
                </w:p>
                <w:p w:rsidR="00111D6C" w:rsidRPr="005A3CCD" w:rsidRDefault="00111D6C">
                  <w:pPr>
                    <w:pStyle w:val="OCRStyle1"/>
                    <w:ind w:left="6714"/>
                  </w:pPr>
                  <w:r>
                    <w:rPr>
                      <w:rtl/>
                    </w:rPr>
                    <w:t>/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71" o:spid="_x0000_s1027" type="#_x0000_t202" style="position:absolute;left:0;text-align:left;margin-left:97.8pt;margin-top:120.35pt;width:456.2pt;height:540.55pt;z-index:2;mso-position-horizontal-relative:page;mso-position-vertical-relative:page" stroked="f">
            <v:textbox style="mso-next-textbox:#_x0000_s1757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52"/>
                    <w:gridCol w:w="1407"/>
                    <w:gridCol w:w="1339"/>
                  </w:tblGrid>
                  <w:tr w:rsidR="00111D6C" w:rsidRPr="005A3CCD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111D6C" w:rsidRDefault="00111D6C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כחוק עבודת נשים, תשי"ד-1954  1(להלן - החוק העיקרי), בסעיף 2(ג) אחרי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פסקה (7) יבוא: 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בשירותי תעופה וים; ,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בסוכנויות נסיעות או תיירות שבנמלי תעופה וים או</w:t>
                        </w:r>
                      </w:p>
                      <w:p w:rsidR="00111D6C" w:rsidRPr="005A3CCD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בועידות בין-לאומיות."</w:t>
                        </w:r>
                      </w:p>
                    </w:tc>
                    <w:tc>
                      <w:tcPr>
                        <w:tcW w:w="807" w:type="pct"/>
                      </w:tcPr>
                      <w:p w:rsidR="00111D6C" w:rsidRPr="005A3CCD" w:rsidRDefault="00111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111D6C" w:rsidRPr="005A3CCD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111D6C" w:rsidRDefault="00111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6(כ) לחוק העיקרי, כסופו יבוא: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"אך עובדת שהוולד אשר ילדה חייב להישאר או לחזור לאשפה בבית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 תוך תקופת חופשת הלידה לתקופה העולה על שבועיים, הברירה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בידה לעשות אחת מאלה: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להאריך את חופשת הלידה עד תום תקופת האשפוז, אך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ליותר מארבעה שבועות;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לפצל את חופשת הלידה כך ששלושה שבועות יהיו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בתכוף אחרי יום הלידה והיתר אחרי היום שבו הוולד יעזוב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בית החולים?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תוקף לבחירה לפי סעיף קטן זה אלא אם העובדת הודיע עליה</w:t>
                        </w:r>
                      </w:p>
                      <w:p w:rsidR="00111D6C" w:rsidRPr="005A3CCD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בדרך, במועד ולמי שקבע שר העבודה בתקנות."</w:t>
                        </w:r>
                      </w:p>
                    </w:tc>
                    <w:tc>
                      <w:tcPr>
                        <w:tcW w:w="807" w:type="pct"/>
                      </w:tcPr>
                      <w:p w:rsidR="00111D6C" w:rsidRPr="005A3CCD" w:rsidRDefault="00111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111D6C" w:rsidRPr="005A3CCD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111D6C" w:rsidRPr="005A3CCD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סעיף 17 לחוק העיקרי - בטל.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111D6C" w:rsidRPr="005A3CCD" w:rsidRDefault="00111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17</w:t>
                        </w:r>
                      </w:p>
                    </w:tc>
                  </w:tr>
                  <w:tr w:rsidR="00111D6C" w:rsidRPr="005A3CCD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111D6C" w:rsidRPr="005A3CCD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בחוק הביטוח הלאומי [נוסח משולב], תשכ'"ח-1968 2, אחר סעיף 98 יבוא:</w:t>
                        </w:r>
                      </w:p>
                    </w:tc>
                    <w:tc>
                      <w:tcPr>
                        <w:tcW w:w="807" w:type="pct"/>
                        <w:vMerge w:val="restart"/>
                      </w:tcPr>
                      <w:p w:rsidR="00111D6C" w:rsidRDefault="00111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הביטוח</w:t>
                        </w:r>
                      </w:p>
                      <w:p w:rsidR="00111D6C" w:rsidRPr="005A3CCD" w:rsidRDefault="00111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הלאומי</w:t>
                        </w:r>
                      </w:p>
                    </w:tc>
                  </w:tr>
                  <w:tr w:rsidR="00111D6C">
                    <w:trPr>
                      <w:jc w:val="right"/>
                    </w:trPr>
                    <w:tc>
                      <w:tcPr>
                        <w:tcW w:w="3345" w:type="pct"/>
                      </w:tcPr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98א. (א) מבוטחת שהיא עובדת, שהאריכה את חופשת הלידה שלה לפי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ברירה הניתנת לה כסעיף 6(ב) לחוק עבודת נשים, תשי'"ד-1954, ינהגו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כך: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היא זכאית לדמי לידה לפי סעיף 98(א)(1) - תהיה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לדמי לידה נוספים לתקופת ההארכה, אך לא ליותר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מארבעה שבועות;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היא זכאית לדמי לידה לפי סעיף 98(א20) או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98(ב) - תהיה זכאית לדמי לידה נוספים לתקופת ההארכה,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לא ליותר משבועיים;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כתום שלושה שבועות מיום הלידה עדיין זכאית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להמשך תשלום דמי לידה, יידחה תשלום יתרת דמי</w:t>
                        </w:r>
                      </w:p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הלידה לטי סעיף 98 עד שהוולד יעזוב את בית החולים.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לידה ליולדת</w:t>
                        </w:r>
                      </w:p>
                      <w:p w:rsidR="00111D6C" w:rsidRPr="005A3CCD" w:rsidRDefault="00111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בתנאים מיוחדים</w:t>
                        </w:r>
                      </w:p>
                    </w:tc>
                    <w:tc>
                      <w:tcPr>
                        <w:tcW w:w="807" w:type="pct"/>
                        <w:vMerge/>
                      </w:tcPr>
                      <w:p w:rsidR="00111D6C" w:rsidRDefault="00111D6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11D6C" w:rsidRDefault="00111D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572" o:spid="_x0000_s1028" type="#_x0000_t202" style="position:absolute;left:0;text-align:left;margin-left:156.2pt;margin-top:96.4pt;width:262.75pt;height:18.8pt;z-index:1;mso-position-horizontal-relative:page;mso-position-vertical-relative:page" stroked="f">
            <v:textbox style="mso-next-textbox:#_x0000_s17572" inset="0,0,0,0">
              <w:txbxContent>
                <w:p w:rsidR="00111D6C" w:rsidRPr="005A3CCD" w:rsidRDefault="00111D6C">
                  <w:pPr>
                    <w:pStyle w:val="OCRStyle1"/>
                    <w:ind w:left="21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עבודת נשים (תיקון מס' 4), תשל"ג-1973 *</w:t>
                  </w:r>
                </w:p>
              </w:txbxContent>
            </v:textbox>
            <w10:wrap anchorx="page" anchory="page"/>
          </v:shape>
        </w:pict>
      </w:r>
    </w:p>
    <w:p w:rsidR="00111D6C" w:rsidRDefault="00111D6C">
      <w:pPr>
        <w:rPr>
          <w:rtl/>
        </w:rPr>
      </w:pPr>
      <w:r>
        <w:rPr>
          <w:rtl/>
        </w:rPr>
        <w:br w:type="page"/>
      </w:r>
    </w:p>
    <w:p w:rsidR="00111D6C" w:rsidRDefault="00000000">
      <w:pPr>
        <w:rPr>
          <w:rtl/>
        </w:rPr>
      </w:pPr>
      <w:r>
        <w:pict>
          <v:shape id="_x0000_s1757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7573" inset="0,0,0,0">
              <w:txbxContent>
                <w:p w:rsidR="00111D6C" w:rsidRDefault="00111D6C">
                  <w:r>
                    <w:rPr>
                      <w:rtl/>
                    </w:rPr>
                    <w:t>261                                          ספר החוקים 712                     ה' באב התשל"ג 03.08.1973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74" o:spid="_x0000_s1030" type="#_x0000_t202" style="position:absolute;left:0;text-align:left;margin-left:185pt;margin-top:181.45pt;width:99.8pt;height:38.8pt;z-index:8;mso-position-horizontal-relative:page;mso-position-vertical-relative:page" stroked="f">
            <v:textbox style="mso-next-textbox:#_x0000_s17574" inset="0,0,0,0">
              <w:txbxContent>
                <w:p w:rsidR="00111D6C" w:rsidRDefault="00111D6C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111D6C" w:rsidRDefault="00111D6C">
                  <w:pPr>
                    <w:pStyle w:val="OCRStyle2"/>
                    <w:ind w:left="572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75" o:spid="_x0000_s1031" type="#_x0000_t202" style="position:absolute;left:0;text-align:left;margin-left:306.4pt;margin-top:183.2pt;width:95.65pt;height:42.95pt;z-index:7;mso-position-horizontal-relative:page;mso-position-vertical-relative:page" stroked="f">
            <v:textbox style="mso-next-textbox:#_x0000_s17575" inset="0,0,0,0">
              <w:txbxContent>
                <w:p w:rsidR="00111D6C" w:rsidRDefault="00111D6C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111D6C" w:rsidRDefault="00111D6C">
                  <w:pPr>
                    <w:pStyle w:val="OCRStyle2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76" o:spid="_x0000_s1032" type="#_x0000_t202" style="position:absolute;left:0;text-align:left;margin-left:449.35pt;margin-top:213.3pt;width:104.15pt;height:35.25pt;z-index:6;mso-position-horizontal-relative:page;mso-position-vertical-relative:page" stroked="f">
            <v:textbox style="mso-next-textbox:#_x0000_s17576" inset="0,0,0,0">
              <w:txbxContent>
                <w:p w:rsidR="00111D6C" w:rsidRDefault="00111D6C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11D6C" w:rsidRDefault="00111D6C">
                  <w:pPr>
                    <w:pStyle w:val="OCRStyle2"/>
                    <w:ind w:left="43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77" o:spid="_x0000_s1033" type="#_x0000_t202" style="position:absolute;left:0;text-align:left;margin-left:167pt;margin-top:87.6pt;width:315pt;height:90.5pt;z-index:5;mso-position-horizontal-relative:page;mso-position-vertical-relative:page" stroked="f">
            <v:textbox style="mso-next-textbox:#_x0000_s17577" inset="0,0,0,0">
              <w:txbxContent>
                <w:p w:rsidR="00111D6C" w:rsidRDefault="00111D6C">
                  <w:pPr>
                    <w:pStyle w:val="OCRStyle2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* (ב)הוראות סעיף קטן (א) יחולו גם לגבי מבוטחת שהיא עובדת</w:t>
                  </w:r>
                </w:p>
                <w:p w:rsidR="00111D6C" w:rsidRDefault="00111D6C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עצמאית, אם הוולד אשר ילדה חייב להישאר או לחזור לאשפוז בבית</w:t>
                  </w:r>
                </w:p>
                <w:p w:rsidR="00111D6C" w:rsidRDefault="00111D6C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החולים, תוך התקופה שבעדה משתלמים דמי לידה לפי סעיף 98 ,לתקופה</w:t>
                  </w:r>
                </w:p>
                <w:p w:rsidR="00111D6C" w:rsidRDefault="00111D6C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העולה על שבועיים, ובלבד שניתנה הודעה למוסד על הבחירה בדרך</w:t>
                  </w:r>
                </w:p>
                <w:p w:rsidR="00111D6C" w:rsidRDefault="00111D6C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ובמועד שנקבעו בתקנות."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A3CC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7B69F73-C260-46C8-A8C1-D5673F1F0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3CCD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111D6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2008-04-07T11:56:00Z</dcterms:created>
  <dcterms:modified xsi:type="dcterms:W3CDTF">2008-04-07T11:56:00Z</dcterms:modified>
</cp:coreProperties>
</file>