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456D" w:rsidRDefault="00F7456D">
      <w:pPr>
        <w:rPr>
          <w:rtl/>
        </w:rPr>
      </w:pPr>
    </w:p>
    <w:p w:rsidR="00F745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624" inset="0,0,0,0">
              <w:txbxContent>
                <w:p w:rsidR="00FF61E3" w:rsidRDefault="00FF61E3">
                  <w:r>
                    <w:rPr>
                      <w:rtl/>
                    </w:rPr>
                    <w:t>108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5" o:spid="_x0000_s1026" type="#_x0000_t202" style="position:absolute;left:0;text-align:left;margin-left:84.1pt;margin-top:650.65pt;width:393.45pt;height:94.65pt;z-index:3;mso-position-horizontal-relative:page;mso-position-vertical-relative:page" stroked="f">
            <v:textbox style="mso-next-textbox:#_x0000_s17625" inset="0,0,0,0">
              <w:txbxContent>
                <w:p w:rsidR="00FF61E3" w:rsidRDefault="00FF61E3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תש"ם (24 במרס 1980); הצעת החוק ודברי הסבר פורסמו בה"ח 1382, תשל"ט,</w:t>
                  </w:r>
                </w:p>
                <w:p w:rsidR="00FF61E3" w:rsidRDefault="00FF61E3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עמ' 84.</w:t>
                  </w:r>
                </w:p>
                <w:p w:rsidR="00FF61E3" w:rsidRDefault="00FF61E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178; תשכיב, עמ' 15; תשכ"ג, עמ' 66, עמ' 145; תשכ"ה, עמ' 25; תשכיח, עמ '12; תשל"א,</w:t>
                  </w:r>
                </w:p>
                <w:p w:rsidR="00FF61E3" w:rsidRDefault="00FF61E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178, עמי 180; תשל"ב, עמ' 36; תשל"ו, עמי 126; תשל''ז, עמי 7; תשל"ח, עמי .198</w:t>
                  </w:r>
                </w:p>
                <w:p w:rsidR="00FF61E3" w:rsidRPr="00F7456D" w:rsidRDefault="00FF61E3">
                  <w:pPr>
                    <w:pStyle w:val="OCRStyle1"/>
                    <w:ind w:left="4270"/>
                  </w:pPr>
                  <w:r>
                    <w:rPr>
                      <w:rtl/>
                    </w:rPr>
                    <w:t>סטר החוקים 968, כ"ז בניסן תש''ם, 13.4.1980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6" o:spid="_x0000_s1027" type="#_x0000_t202" style="position:absolute;left:0;text-align:left;margin-left:87.45pt;margin-top:110.9pt;width:457.2pt;height:533.8pt;z-index:2;mso-position-horizontal-relative:page;mso-position-vertical-relative:page" stroked="f">
            <v:textbox style="mso-next-textbox:#_x0000_s176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9"/>
                    <w:gridCol w:w="1523"/>
                    <w:gridCol w:w="1130"/>
                  </w:tblGrid>
                  <w:tr w:rsidR="00FF61E3" w:rsidRPr="00F7456D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FF61E3" w:rsidRDefault="00FF61E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לחוק לשכת עורכי הדין, תשכ"א-1961  1(להלן - החוק העיקרי), במקום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יבוא: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עשרים חברים שיבחרו חברי הלשכה, במועד הבחירות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לועידה הארצית, בבחירות כלליות, שוות, יחסיות, חשאיות,</w:t>
                        </w:r>
                      </w:p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ישירות וארציות מבין חברי הלשכה;".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FF61E3" w:rsidRPr="00F7456D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9 לחוק העיקרי יבוא:</w:t>
                        </w:r>
                      </w:p>
                    </w:tc>
                    <w:tc>
                      <w:tcPr>
                        <w:tcW w:w="680" w:type="pct"/>
                        <w:vMerge w:val="restar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 יפים</w:t>
                        </w:r>
                      </w:p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9א-9ב</w:t>
                        </w:r>
                      </w:p>
                    </w:tc>
                  </w:tr>
                  <w:tr w:rsidR="00FF61E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מי שהיה לחבר המועצה הארצית מכוח סעיף 9(2) או מכוח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וחדל מכהונתו לפני הבחירות לפי אותו סעיף, יבוא במקומו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ששמו בא ברשימת המועמדים של אותו חבר אחרי שמות המועמ-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שנבחרו מתוכה בבחירות הקודמות למועצה הארצית או שהיו לחבר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 מכוח סעיף קטן זה, לפי הענין.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נכנס המועמד כאמור בסעיף קטן (א) בדרך זו כבר קודם לכן,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פסול או לא יכול היה להיות חבר המועצה הארצית מכל סיבה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או הודיע בכתב ליושב-ראש המועצה הארצית שאין כרצונו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המועצה' יבוא במקומו המועמד ששמו בא אחריו ברשימת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האמורה, וכן הלאה.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ברשימת המועמדים מי שימלא את המקום הפנוי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ימנה ראש הלשכה תחתיו חבר לשכה אחר,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הציבור שמטעמו הוצעה מועמדותו של החבר שמקומו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נתפנה.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המועצה הארצית שבחר בו ועד מחוזי כאמור בסעיף 9(3)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ושחדל מכהונתו שלא עקב בחירתו של אחר תחתיו, יבחר הועד המחוזי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תחתיו חבר לשכה אחר שבאותו מחוז.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 המועצה הארצית שמינה אותו שר המשפטים כאמור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 (4) ושחדל מכהונתו שלא עקב מינויו של אחר תחתיו, ימנה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תחתיו חבר אחר.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"מילוי מקום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שהתפנה במועצה</w:t>
                        </w:r>
                      </w:p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</w:t>
                        </w:r>
                      </w:p>
                    </w:tc>
                    <w:tc>
                      <w:tcPr>
                        <w:tcW w:w="680" w:type="pct"/>
                        <w:vMerge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61E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(א) חבר המועצה הארצית שנעדר מישיבות המועצה שלושה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רצופים, ואם היו בשלושה חדשים פחות משלוש ישיבות - משלוש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רצופות, יחדל מכהונתו כחבר המועצה, בתנאים ובמועד שנקבעו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או על פיו.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תנאים להפסקת כהונה כאמור הם כי -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המועצה הארצית לא נתנה רשות מראש להיעדרות חבר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</w:tc>
                    <w:tc>
                      <w:tcPr>
                        <w:tcW w:w="916" w:type="pc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הכהונה</w:t>
                        </w:r>
                      </w:p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היעדרות</w:t>
                        </w:r>
                      </w:p>
                      <w:p w:rsidR="00FF61E3" w:rsidRPr="00F7456D" w:rsidRDefault="00FF6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מישיבות המועצה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F61E3" w:rsidRDefault="00FF61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F61E3" w:rsidRDefault="00FF61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27" o:spid="_x0000_s1028" type="#_x0000_t202" style="position:absolute;left:0;text-align:left;margin-left:130.65pt;margin-top:75.65pt;width:306.3pt;height:27.5pt;z-index:1;mso-position-horizontal-relative:page;mso-position-vertical-relative:page" stroked="f">
            <v:textbox style="mso-next-textbox:#_x0000_s17627" inset="0,0,0,0">
              <w:txbxContent>
                <w:p w:rsidR="00FF61E3" w:rsidRPr="00F7456D" w:rsidRDefault="00FF61E3">
                  <w:pPr>
                    <w:pStyle w:val="OCRStyle1"/>
                    <w:ind w:left="3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(תיקון מס' 12), תש"ם-1980 *</w:t>
                  </w:r>
                </w:p>
              </w:txbxContent>
            </v:textbox>
            <w10:wrap anchorx="page" anchory="page"/>
          </v:shape>
        </w:pict>
      </w:r>
    </w:p>
    <w:p w:rsidR="00FF61E3" w:rsidRDefault="00FF61E3">
      <w:pPr>
        <w:rPr>
          <w:rtl/>
        </w:rPr>
      </w:pPr>
      <w:r>
        <w:rPr>
          <w:rtl/>
        </w:rPr>
        <w:br w:type="page"/>
      </w:r>
    </w:p>
    <w:p w:rsidR="00FF61E3" w:rsidRDefault="00000000">
      <w:pPr>
        <w:rPr>
          <w:rtl/>
        </w:rPr>
      </w:pPr>
      <w:r>
        <w:pict>
          <v:shape id="_x0000_s1762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628" inset="0,0,0,0">
              <w:txbxContent>
                <w:p w:rsidR="00FF61E3" w:rsidRDefault="00FF61E3">
                  <w:r>
                    <w:rPr>
                      <w:rtl/>
                    </w:rPr>
                    <w:t>109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9" o:spid="_x0000_s1030" type="#_x0000_t202" style="position:absolute;left:0;text-align:left;margin-left:386.05pt;margin-top:723.45pt;width:166.9pt;height:18.8pt;z-index:9;mso-position-horizontal-relative:page;mso-position-vertical-relative:page" stroked="f">
            <v:textbox style="mso-next-textbox:#_x0000_s17629" inset="0,0,0,0">
              <w:txbxContent>
                <w:p w:rsidR="00FF61E3" w:rsidRDefault="00FF61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630" o:spid="_x0000_s1031" type="#_x0000_t202" style="position:absolute;left:0;text-align:left;margin-left:181.15pt;margin-top:564.05pt;width:95.65pt;height:38pt;z-index:8;mso-position-horizontal-relative:page;mso-position-vertical-relative:page" stroked="f">
            <v:textbox style="mso-next-textbox:#_x0000_s17630" inset="0,0,0,0">
              <w:txbxContent>
                <w:p w:rsidR="00FF61E3" w:rsidRDefault="00FF61E3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FF61E3" w:rsidRDefault="00FF61E3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1" o:spid="_x0000_s1032" type="#_x0000_t202" style="position:absolute;left:0;text-align:left;margin-left:311.2pt;margin-top:564.05pt;width:84.35pt;height:37.05pt;z-index:7;mso-position-horizontal-relative:page;mso-position-vertical-relative:page" stroked="f">
            <v:textbox style="mso-next-textbox:#_x0000_s17631" inset="0,0,0,0">
              <w:txbxContent>
                <w:p w:rsidR="00FF61E3" w:rsidRDefault="00FF61E3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F61E3" w:rsidRDefault="00FF61E3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2" o:spid="_x0000_s1033" type="#_x0000_t202" style="position:absolute;left:0;text-align:left;margin-left:478.15pt;margin-top:595.15pt;width:69.7pt;height:30.9pt;z-index:6;mso-position-horizontal-relative:page;mso-position-vertical-relative:page" stroked="f">
            <v:textbox style="mso-next-textbox:#_x0000_s17632" inset="0,0,0,0">
              <w:txbxContent>
                <w:p w:rsidR="00FF61E3" w:rsidRDefault="00FF61E3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F61E3" w:rsidRDefault="00FF61E3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3" o:spid="_x0000_s1034" type="#_x0000_t202" style="position:absolute;left:0;text-align:left;margin-left:97.6pt;margin-top:76pt;width:456.4pt;height:480.35pt;z-index:5;mso-position-horizontal-relative:page;mso-position-vertical-relative:page" stroked="f">
            <v:textbox style="mso-next-textbox:#_x0000_s176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5785"/>
                    <w:gridCol w:w="1346"/>
                  </w:tblGrid>
                  <w:tr w:rsidR="00FF61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6" w:type="pct"/>
                      </w:tcPr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המועצה הארצית שלח לחבר המועצה' מיד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הישיבה השניה שממנה נעדר' הודעה במכתב רשום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פירוט הישיבות של המועצה הארצית שמהן נעדר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וציון העובדה שההודעה נשלחה מכוח סעיף קטן זה.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יושב ראש המועצה הארצית שחכר המועצה נעדר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מישיבות המועצה כאמור בסעיף קטן (א) ושנתמלאו התנאים שבסעיף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(ב)' ישלח לו הודעה במכתב רשום; ההודעה ת6רט את הישיבות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שמהן נעדר חבר המועצה ואת קיום התנאים שבסעיף קטן (ב) ותציין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מכוח סעיף קטן זה.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חבר המועצה הארצית' תוך תקופה שנקבעה בכללים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זה' בקשה ליושב ראש המועצה לביטול ההודעה לפי סעיף קטן (ג)'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מכהונתו כחבר המועצה הארצית בתום תקופה זו' זולת אם יושב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 הארצית ביטל את ההודעה לפני כן כאמור בסעיף קטן (ה) ;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בקשה כאמור' תדון בה המועצה הארצית' ואם החליטה לדחותה/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המבקש מכהונתו עם קבלת ההחלטה.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המועצה הארצית רשאי לבטל הודעה לפי סעיף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אם הוכח לו שהיעדרותו של חבר המועצה הארצית נגרמה בשל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מחלתו של החבר' שירותו בצבא-הגנה לישראל או שליחות ציבורית שלו.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גו) חבר המועצה הארצית' שאילולא האמור בסעיף קטן זה היה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מכהונתו מחמת היעדרות מישיבות המועצה ושתחתיו לא בא חבר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הלשכה בדרך האמורה בסעיף 9א (א), ימשיך לכהן כחבר המו-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הארצית על אף האמור בהוראות אחרות של סעיף זה' עד שייבחר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יתמנה אדם אחר תחתיו."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61E3" w:rsidRPr="00FF61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F61E3" w:rsidRPr="00FF61E3" w:rsidRDefault="00FF6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FF61E3" w:rsidRP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10 לחוק העיקרי יבוא:</w:t>
                        </w:r>
                      </w:p>
                    </w:tc>
                  </w:tr>
                  <w:tr w:rsidR="00FF61E3" w:rsidRPr="00FF61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6" w:type="pct"/>
                      </w:tcPr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תקופת כהונתו של ראש הלשכה תהא עד לבחירתו של אחר תחתיו;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כהונתם של חברי המועצה הארצית תהא עד לבחירתם או עד</w:t>
                        </w:r>
                      </w:p>
                      <w:p w:rsid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למינוים של אחרים תחתם, לפי הענין."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F61E3" w:rsidRPr="00FF61E3" w:rsidRDefault="00FF6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'תקומת כהונה</w:t>
                        </w:r>
                      </w:p>
                    </w:tc>
                  </w:tr>
                  <w:tr w:rsidR="00FF61E3" w:rsidRPr="00FF61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F61E3" w:rsidRPr="00FF61E3" w:rsidRDefault="00FF6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FF61E3" w:rsidRPr="00FF61E3" w:rsidRDefault="00FF6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יפורסם תוך עשרים ימים מיום קבלתו בכנסת.</w:t>
                        </w:r>
                      </w:p>
                    </w:tc>
                  </w:tr>
                </w:tbl>
                <w:p w:rsidR="00FF61E3" w:rsidRDefault="00FF61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45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EF8684-DF4A-40CE-8A47-E3CA4AC9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456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F61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2008-04-07T00:12:00Z</dcterms:created>
  <dcterms:modified xsi:type="dcterms:W3CDTF">2008-04-07T00:12:00Z</dcterms:modified>
</cp:coreProperties>
</file>