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6057" w:rsidRDefault="00AE6057">
      <w:pPr>
        <w:rPr>
          <w:rtl/>
        </w:rPr>
      </w:pPr>
    </w:p>
    <w:p w:rsidR="00AE605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6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634" inset="0,0,0,0">
              <w:txbxContent>
                <w:p w:rsidR="00930ED9" w:rsidRDefault="00930ED9">
                  <w:r>
                    <w:rPr>
                      <w:rtl/>
                    </w:rPr>
                    <w:t>198                                          ספר החוקים 908                     ז' באב התשל"ח 10.08.1978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35" o:spid="_x0000_s1026" type="#_x0000_t202" style="position:absolute;left:0;text-align:left;margin-left:90.15pt;margin-top:653.4pt;width:394.4pt;height:95.05pt;z-index:3;mso-position-horizontal-relative:page;mso-position-vertical-relative:page" stroked="f">
            <v:textbox style="mso-next-textbox:#_x0000_s17635" inset="0,0,0,0">
              <w:txbxContent>
                <w:p w:rsidR="00930ED9" w:rsidRDefault="00930ED9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גכנסת ביום כ"ז בתמוז תשל"ח (1 באוגוסט 1978); הצעת החוק ודברי הסבר פורסמו בה''ח 1142,תשל"ה,</w:t>
                  </w:r>
                </w:p>
                <w:p w:rsidR="00930ED9" w:rsidRDefault="00930ED9">
                  <w:pPr>
                    <w:pStyle w:val="OCRStyle1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6.</w:t>
                  </w:r>
                </w:p>
                <w:p w:rsidR="00930ED9" w:rsidRDefault="00930ED9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תשכ"א, עמ' 178; תשכ"ב, עמ' 15; תשכ"ג, עמ' 66, עמ' 145; תשכ"ה, עמי 25; תשכ"ח, עמ' 12; תשל"א,</w:t>
                  </w:r>
                </w:p>
                <w:p w:rsidR="00930ED9" w:rsidRDefault="00930ED9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178, עמ' 180; תשל"ב, עמ' 36; תשל''ו, עמ' 126; תשל"ז, עמ' 7.</w:t>
                  </w:r>
                </w:p>
                <w:p w:rsidR="00930ED9" w:rsidRPr="00AE6057" w:rsidRDefault="00930ED9">
                  <w:pPr>
                    <w:pStyle w:val="OCRStyle1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 פרק כ"ב, עמ' 155.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36" o:spid="_x0000_s1027" type="#_x0000_t202" style="position:absolute;left:0;text-align:left;margin-left:90.15pt;margin-top:107.3pt;width:458.95pt;height:539.15pt;z-index:2;mso-position-horizontal-relative:page;mso-position-vertical-relative:page" stroked="f">
            <v:textbox style="mso-next-textbox:#_x0000_s176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3"/>
                    <w:gridCol w:w="1382"/>
                    <w:gridCol w:w="1170"/>
                  </w:tblGrid>
                  <w:tr w:rsidR="00930ED9" w:rsidRPr="00AE6057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930ED9" w:rsidRDefault="00930E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58 לחוק לשכת עורכי הדין, תשכ"א-1961 1 (להלן - החוק העיקרי), במקום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הסיפה המתחילה במלים "אולם רשאי עורך דין" יבוא "אולם רשאי עורך דין לשתף בהכ-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נסותיו את בן הזוג, הצאצאים וההורים של שותפו, בהווה או בעבר, שנפטר בעודו חבר</w:t>
                        </w:r>
                      </w:p>
                      <w:p w:rsidR="00930ED9" w:rsidRPr="00AE6057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ושל עורך דין שממנו רכש את עסקו".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930ED9" w:rsidRPr="00AE6057" w:rsidRDefault="00930E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58</w:t>
                        </w:r>
                      </w:p>
                    </w:tc>
                  </w:tr>
                  <w:tr w:rsidR="00930ED9" w:rsidRPr="00AE6057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930ED9" w:rsidRPr="00AE6057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59 לחוק העיקרי יבוא:</w:t>
                        </w:r>
                      </w:p>
                    </w:tc>
                    <w:tc>
                      <w:tcPr>
                        <w:tcW w:w="701" w:type="pct"/>
                      </w:tcPr>
                      <w:p w:rsidR="00930ED9" w:rsidRDefault="00930E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930ED9" w:rsidRPr="00AE6057" w:rsidRDefault="00930E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59א עד 59ו</w:t>
                        </w:r>
                      </w:p>
                    </w:tc>
                  </w:tr>
                  <w:tr w:rsidR="00930ED9">
                    <w:trPr>
                      <w:jc w:val="right"/>
                    </w:trPr>
                    <w:tc>
                      <w:tcPr>
                        <w:tcW w:w="3471" w:type="pct"/>
                      </w:tcPr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59א. (א) עורך דין לא יעסוק במקצועו כחבר בחברת עורכי דין אלא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נתקיימו אלה: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החברה רשומה בישראל לפי פקודת החברות 2 ואין לה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הגבלה על ערבות חבריה;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מטרות החברה, לפי תזכירה, הן האגדם של עורכי דין,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עזר לעריכת דין, פעולות לניהול החכרה ונכסיה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ולהשקעת רווחיה ופעולות לוואי הדרושות לאלה, ונקבע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בתזכיר ההתאגדות כי לא יהיו לחברה הסמכויות המפורטות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השניה לפקודת החברות;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חברי החברה ומנהליה הם חברי הלשכה.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יעסוק עורך דין במקצועו כחבר ביותר מחברת עורכי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אחת.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'"סייגים לעיסוק</w:t>
                        </w:r>
                      </w:p>
                      <w:p w:rsidR="00930ED9" w:rsidRPr="00AE6057" w:rsidRDefault="00930E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בחברת עורכי-דין</w:t>
                        </w:r>
                      </w:p>
                    </w:tc>
                    <w:tc>
                      <w:tcPr>
                        <w:tcW w:w="701" w:type="pct"/>
                      </w:tcPr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30ED9">
                    <w:trPr>
                      <w:jc w:val="right"/>
                    </w:trPr>
                    <w:tc>
                      <w:tcPr>
                        <w:tcW w:w="3471" w:type="pct"/>
                      </w:tcPr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59ב. שם של חברת עורכי דין לא יכלול אלא שמם של עורכי דין שהם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החברה העוסקים בעריכת דין.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930ED9" w:rsidRPr="00AE6057" w:rsidRDefault="00930E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החברה</w:t>
                        </w:r>
                      </w:p>
                    </w:tc>
                    <w:tc>
                      <w:tcPr>
                        <w:tcW w:w="701" w:type="pct"/>
                      </w:tcPr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30ED9">
                    <w:trPr>
                      <w:jc w:val="right"/>
                    </w:trPr>
                    <w:tc>
                      <w:tcPr>
                        <w:tcW w:w="3471" w:type="pct"/>
                      </w:tcPr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59ג. (א) חברת עורכי דין לא תשתף בהכנסותיה, על אף האמור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בתזכירה, בתקנותיה או במסמך אחר, מי שאינו עורך דין, אולם רשאית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לשתף בהכנסותיה את בן הזוג, הצאצאים וההורים של חבר, בהווה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כעבר, שנפטר בעודו חבר הלשכה או של עורך דין שהחברה רכשה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עסקו.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נפטר חכר או חדל להיות חבר הלשכה ולא הועבר חלקו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בחברה, ירכשוהו חברי החכרה תוך תקופה, בדרך, במועד ובתנאים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בכללים.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930ED9" w:rsidRDefault="00930E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שיתוף</w:t>
                        </w:r>
                      </w:p>
                      <w:p w:rsidR="00930ED9" w:rsidRPr="00AE6057" w:rsidRDefault="00930E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בהכנסות</w:t>
                        </w:r>
                      </w:p>
                    </w:tc>
                    <w:tc>
                      <w:tcPr>
                        <w:tcW w:w="701" w:type="pct"/>
                      </w:tcPr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30ED9">
                    <w:trPr>
                      <w:jc w:val="right"/>
                    </w:trPr>
                    <w:tc>
                      <w:tcPr>
                        <w:tcW w:w="3471" w:type="pct"/>
                      </w:tcPr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59ד. (א) חבר בחברת עורכי דין שהושעה מחברותו בלשכה לא יהיה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לקבל בתקופת השעייתו כל תשלום מהחברה חוץ מתשלומים בעד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שניתן לפני שהושעה ולא כל חלק מרווחי החברה שהרוויחה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כשעה שהיה מושעה כאמור, והחברה לא תשלם לו, או לאחר על פי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הוראותיו או בשל זכויות החברות שלו, דבר שאינו זכאי לקבל לפי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זה.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בחברת עורכי דין שהושעה מחברותו בלשכה לא יפעיל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זכות או סמכות שיש לו כחבר בחברה או כמנהל או כפקיד החברה,</w:t>
                        </w:r>
                      </w:p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זמן שהוא מושעה כאמור, והחכרה לא תפעל על פי הוראה כאמור.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930ED9" w:rsidRDefault="00930E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השתתפות</w:t>
                        </w:r>
                      </w:p>
                      <w:p w:rsidR="00930ED9" w:rsidRPr="00AE6057" w:rsidRDefault="00930E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למי שהושעה</w:t>
                        </w:r>
                      </w:p>
                    </w:tc>
                    <w:tc>
                      <w:tcPr>
                        <w:tcW w:w="701" w:type="pct"/>
                      </w:tcPr>
                      <w:p w:rsidR="00930ED9" w:rsidRDefault="00930ED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30ED9" w:rsidRDefault="00930E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637" o:spid="_x0000_s1028" type="#_x0000_t202" style="position:absolute;left:0;text-align:left;margin-left:132.1pt;margin-top:76.6pt;width:313.85pt;height:29.1pt;z-index:1;mso-position-horizontal-relative:page;mso-position-vertical-relative:page" stroked="f">
            <v:textbox style="mso-next-textbox:#_x0000_s17637" inset="0,0,0,0">
              <w:txbxContent>
                <w:p w:rsidR="00930ED9" w:rsidRPr="00AE6057" w:rsidRDefault="00930ED9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לשכת עורכי הדין (תיקון מס' 11), תשל"ח-1978 *</w:t>
                  </w:r>
                </w:p>
              </w:txbxContent>
            </v:textbox>
            <w10:wrap anchorx="page" anchory="page"/>
          </v:shape>
        </w:pict>
      </w:r>
    </w:p>
    <w:p w:rsidR="00930ED9" w:rsidRDefault="00930ED9">
      <w:pPr>
        <w:rPr>
          <w:rtl/>
        </w:rPr>
      </w:pPr>
      <w:r>
        <w:rPr>
          <w:rtl/>
        </w:rPr>
        <w:br w:type="page"/>
      </w:r>
    </w:p>
    <w:p w:rsidR="00930ED9" w:rsidRDefault="00000000">
      <w:pPr>
        <w:rPr>
          <w:rtl/>
        </w:rPr>
      </w:pPr>
      <w:r>
        <w:pict>
          <v:shape id="_x0000_s1763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638" inset="0,0,0,0">
              <w:txbxContent>
                <w:p w:rsidR="00930ED9" w:rsidRDefault="00930ED9">
                  <w:r>
                    <w:rPr>
                      <w:rtl/>
                    </w:rPr>
                    <w:t>199                                          ספר החוקים 908                     ז' באב התשל"ח 10.08.1978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39" o:spid="_x0000_s1030" type="#_x0000_t202" style="position:absolute;left:0;text-align:left;margin-left:190.1pt;margin-top:307.05pt;width:337.2pt;height:72.45pt;z-index:9;mso-position-horizontal-relative:page;mso-position-vertical-relative:page" stroked="f">
            <v:textbox style="mso-next-textbox:#_x0000_s17639" inset="0,0,0,0">
              <w:txbxContent>
                <w:p w:rsidR="00930ED9" w:rsidRPr="00930ED9" w:rsidRDefault="00930ED9">
                  <w:pPr>
                    <w:pStyle w:val="OCRStyle2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דיני מדינת ישראל, נוסח חדש 10,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40" o:spid="_x0000_s1031" type="#_x0000_t202" style="position:absolute;left:0;text-align:left;margin-left:159.8pt;margin-top:243.1pt;width:97pt;height:35.25pt;z-index:8;mso-position-horizontal-relative:page;mso-position-vertical-relative:page" stroked="f">
            <v:textbox style="mso-next-textbox:#_x0000_s17640" inset="0,0,0,0">
              <w:txbxContent>
                <w:p w:rsidR="00930ED9" w:rsidRDefault="00930ED9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930ED9" w:rsidRDefault="00930ED9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41" o:spid="_x0000_s1032" type="#_x0000_t202" style="position:absolute;left:0;text-align:left;margin-left:287.9pt;margin-top:239.75pt;width:83.35pt;height:37.8pt;z-index:7;mso-position-horizontal-relative:page;mso-position-vertical-relative:page" stroked="f">
            <v:textbox style="mso-next-textbox:#_x0000_s17641" inset="0,0,0,0">
              <w:txbxContent>
                <w:p w:rsidR="00930ED9" w:rsidRDefault="00930ED9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30ED9" w:rsidRDefault="00930ED9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42" o:spid="_x0000_s1033" type="#_x0000_t202" style="position:absolute;left:0;text-align:left;margin-left:441.35pt;margin-top:263.3pt;width:104.35pt;height:40.4pt;z-index:6;mso-position-horizontal-relative:page;mso-position-vertical-relative:page" stroked="f">
            <v:textbox style="mso-next-textbox:#_x0000_s17642" inset="0,0,0,0">
              <w:txbxContent>
                <w:p w:rsidR="00930ED9" w:rsidRDefault="00930ED9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30ED9" w:rsidRDefault="00930ED9">
                  <w:pPr>
                    <w:pStyle w:val="OCRStyle2"/>
                    <w:ind w:left="43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43" o:spid="_x0000_s1034" type="#_x0000_t202" style="position:absolute;left:0;text-align:left;margin-left:131.3pt;margin-top:70.25pt;width:416.2pt;height:164.35pt;z-index:5;mso-position-horizontal-relative:page;mso-position-vertical-relative:page" stroked="f">
            <v:textbox style="mso-next-textbox:#_x0000_s17643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8"/>
                    <w:gridCol w:w="1520"/>
                  </w:tblGrid>
                  <w:tr w:rsidR="00930ED9" w:rsidRPr="00930ED9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930ED9" w:rsidRDefault="00930E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59ה. לענין פקודת הנזיקין ונוסח חדש] 3 רואים חברת עורכי דין כאח-</w:t>
                        </w:r>
                      </w:p>
                      <w:p w:rsidR="00930ED9" w:rsidRDefault="00930E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ראית בנזיקין לכל מעשה או מחדל בענין שפעלו בו חבריה כעורכי דין.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930ED9" w:rsidRDefault="00930ED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החברה</w:t>
                        </w:r>
                      </w:p>
                      <w:p w:rsidR="00930ED9" w:rsidRPr="00930ED9" w:rsidRDefault="00930ED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כנזיקין</w:t>
                        </w:r>
                      </w:p>
                    </w:tc>
                  </w:tr>
                  <w:tr w:rsidR="00930ED9" w:rsidRPr="00930ED9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930ED9" w:rsidRDefault="00930E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59ו. (א) אין בקיומה של חברת עורכי דין ובהיות עורך דין חבר בה</w:t>
                        </w:r>
                      </w:p>
                      <w:p w:rsidR="00930ED9" w:rsidRDefault="00930E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לגרוע -</w:t>
                        </w:r>
                      </w:p>
                      <w:p w:rsidR="00930ED9" w:rsidRDefault="00930E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מאחריותו האישית של עורך הדין כפי שהיתה קיימת</w:t>
                        </w:r>
                      </w:p>
                      <w:p w:rsidR="00930ED9" w:rsidRDefault="00930E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לולא החברה או חברותו בה;</w:t>
                        </w:r>
                      </w:p>
                      <w:p w:rsidR="00930ED9" w:rsidRDefault="00930E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מתחולת הוראות חוק זה על עורך הדין.</w:t>
                        </w:r>
                      </w:p>
                      <w:p w:rsidR="00930ED9" w:rsidRDefault="00930E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עורך דין או שותפות של עורכי דין הממשיכים לעסוק במק-</w:t>
                        </w:r>
                      </w:p>
                      <w:p w:rsidR="00930ED9" w:rsidRDefault="00930E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צוע במסגרת חברת עורכי דין, לא יראו בכך הפסקת התעסקות במקצוע</w:t>
                        </w:r>
                      </w:p>
                      <w:p w:rsidR="00930ED9" w:rsidRDefault="00930E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כל דין."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930ED9" w:rsidRDefault="00930ED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אחריות</w:t>
                        </w:r>
                      </w:p>
                      <w:p w:rsidR="00930ED9" w:rsidRPr="00930ED9" w:rsidRDefault="00930ED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ודינים</w:t>
                        </w:r>
                      </w:p>
                    </w:tc>
                  </w:tr>
                </w:tbl>
                <w:p w:rsidR="00930ED9" w:rsidRDefault="00930ED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E605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B3D0430-3DA8-4594-85D7-7EDFC88F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605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30ED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2008-04-06T23:44:00Z</dcterms:created>
  <dcterms:modified xsi:type="dcterms:W3CDTF">2008-04-06T23:44:00Z</dcterms:modified>
</cp:coreProperties>
</file>