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17A8" w:rsidRDefault="00B417A8">
      <w:pPr>
        <w:rPr>
          <w:rtl/>
        </w:rPr>
      </w:pPr>
    </w:p>
    <w:p w:rsidR="00B417A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68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684" inset="0,0,0,0">
              <w:txbxContent>
                <w:p w:rsidR="00013B16" w:rsidRDefault="00013B16">
                  <w:r>
                    <w:rPr>
                      <w:rtl/>
                    </w:rPr>
                    <w:t>180                                          ספר החוקים 635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85" o:spid="_x0000_s1026" type="#_x0000_t202" style="position:absolute;left:0;text-align:left;margin-left:86.25pt;margin-top:696.45pt;width:364.1pt;height:66.35pt;z-index:3;mso-wrap-style:none;mso-position-horizontal-relative:page;mso-position-vertical-relative:page" stroked="f">
            <v:textbox style="mso-next-textbox:#_x0000_s17685" inset="0,0,0,0">
              <w:txbxContent>
                <w:p w:rsidR="00013B16" w:rsidRDefault="00013B16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ה' באב תשל''א (27 ביולי 1971); הגעת החוק ודברי הסבר פורסמו בה"ח 921, תשל''א,</w:t>
                  </w:r>
                </w:p>
                <w:p w:rsidR="00013B16" w:rsidRDefault="00013B16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עמ' 90.</w:t>
                  </w:r>
                </w:p>
                <w:p w:rsidR="00013B16" w:rsidRPr="00B417A8" w:rsidRDefault="00013B16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1 ס"ח תשכ"א, עמי 178, תשכ"ב, עמ' 15; תשכ"ג, עמ' 145,66; תשכ"ה, עמ' 25; תשכיח,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86" o:spid="_x0000_s1027" type="#_x0000_t202" style="position:absolute;left:0;text-align:left;margin-left:81.1pt;margin-top:349.55pt;width:450.25pt;height:337.6pt;z-index:2;mso-wrap-style:none;mso-position-horizontal-relative:page;mso-position-vertical-relative:page" stroked="f">
            <v:textbox style="mso-next-textbox:#_x0000_s17686" inset="0,0,0,0">
              <w:txbxContent>
                <w:tbl>
                  <w:tblPr>
                    <w:tblW w:w="48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9"/>
                    <w:gridCol w:w="1256"/>
                    <w:gridCol w:w="932"/>
                  </w:tblGrid>
                  <w:tr w:rsidR="00013B16" w:rsidRPr="00B417A8">
                    <w:trPr>
                      <w:jc w:val="right"/>
                    </w:trPr>
                    <w:tc>
                      <w:tcPr>
                        <w:tcW w:w="4431" w:type="pct"/>
                        <w:gridSpan w:val="2"/>
                      </w:tcPr>
                      <w:p w:rsidR="00013B16" w:rsidRDefault="00013B1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29 לחוק לשכת עורכי הדין, תשכ"א-1961  1(להלן - החוק העיקרי).</w:t>
                        </w:r>
                      </w:p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פסקה (1) יבוא:</w:t>
                        </w:r>
                      </w:p>
                      <w:p w:rsidR="00013B16" w:rsidRPr="00B417A8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שופט של בית דין לעבודה;".</w:t>
                        </w:r>
                      </w:p>
                    </w:tc>
                    <w:tc>
                      <w:tcPr>
                        <w:tcW w:w="569" w:type="pct"/>
                      </w:tcPr>
                      <w:p w:rsidR="00013B16" w:rsidRPr="00B417A8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013B16" w:rsidRPr="00B417A8">
                    <w:trPr>
                      <w:jc w:val="right"/>
                    </w:trPr>
                    <w:tc>
                      <w:tcPr>
                        <w:tcW w:w="4431" w:type="pct"/>
                        <w:gridSpan w:val="2"/>
                      </w:tcPr>
                      <w:p w:rsidR="00013B16" w:rsidRPr="00B417A8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במקום סעיף 30 לחוק העיקרי יבוא:</w:t>
                        </w:r>
                      </w:p>
                    </w:tc>
                    <w:tc>
                      <w:tcPr>
                        <w:tcW w:w="569" w:type="pct"/>
                      </w:tcPr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</w:t>
                        </w:r>
                      </w:p>
                      <w:p w:rsidR="00013B16" w:rsidRPr="00B417A8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30</w:t>
                        </w:r>
                      </w:p>
                    </w:tc>
                  </w:tr>
                  <w:tr w:rsidR="00013B16">
                    <w:trPr>
                      <w:jc w:val="right"/>
                    </w:trPr>
                    <w:tc>
                      <w:tcPr>
                        <w:tcW w:w="3664" w:type="pct"/>
                      </w:tcPr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הלשכה רשאית, לאחר שנתנה לחבר הלשכה הזדמנות לטעון</w:t>
                        </w:r>
                      </w:p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 לפניה, לבטל אישור שניתן לפי סעיף 29(4) אם נתקיימה אחת</w:t>
                        </w:r>
                      </w:p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הלשכה נוכחה, על פי קובלנה של ועד מחוזי, היועץ</w:t>
                        </w:r>
                      </w:p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 או פרקליט המדינה, שהחבר לא מילא</w:t>
                        </w:r>
                      </w:p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כראוי את תפקידו כמאמן;</w:t>
                        </w:r>
                      </w:p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החבר הורשע על ידי בית דין משמעתי ולאור הרשעתו</w:t>
                        </w:r>
                      </w:p>
                      <w:p w:rsidR="00013B16" w:rsidRPr="00B417A8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סבורה הלשכה שאין הוא ראוי לשמש מאמן."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</w:t>
                        </w:r>
                      </w:p>
                      <w:p w:rsidR="00013B16" w:rsidRPr="00B417A8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</w:t>
                        </w:r>
                      </w:p>
                    </w:tc>
                    <w:tc>
                      <w:tcPr>
                        <w:tcW w:w="569" w:type="pct"/>
                      </w:tcPr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13B16" w:rsidRPr="00B417A8">
                    <w:trPr>
                      <w:jc w:val="right"/>
                    </w:trPr>
                    <w:tc>
                      <w:tcPr>
                        <w:tcW w:w="4431" w:type="pct"/>
                        <w:gridSpan w:val="2"/>
                      </w:tcPr>
                      <w:p w:rsidR="00013B16" w:rsidRPr="00B417A8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41 לחוק העיקרי יבוא:</w:t>
                        </w:r>
                      </w:p>
                    </w:tc>
                    <w:tc>
                      <w:tcPr>
                        <w:tcW w:w="569" w:type="pct"/>
                        <w:vMerge w:val="restart"/>
                      </w:tcPr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013B16" w:rsidRPr="00B417A8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41א</w:t>
                        </w:r>
                      </w:p>
                    </w:tc>
                  </w:tr>
                  <w:tr w:rsidR="00013B16">
                    <w:trPr>
                      <w:jc w:val="right"/>
                    </w:trPr>
                    <w:tc>
                      <w:tcPr>
                        <w:tcW w:w="3664" w:type="pct"/>
                      </w:tcPr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41א. (א) דינו של מתמחה, לכל דבר וענין למעט החיקוקים המפור-</w:t>
                        </w:r>
                      </w:p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טים בתוספת, יהיה כדין עובדו של המאמן, ואם היה המאמן שכירו של</w:t>
                        </w:r>
                      </w:p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יראו את האחר כמעבידו של המתמחה; סעיף זה אינו חל על חייל</w:t>
                        </w:r>
                      </w:p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המתמחה בצבא-הגנה לישראל.</w:t>
                        </w:r>
                      </w:p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המשפטים, באישור ועדת העבודה של הכנסת, רשאי</w:t>
                        </w:r>
                      </w:p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את התוספת, להוסיף עליה ולגרוע ממנה."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''דין מתמחה</w:t>
                        </w:r>
                      </w:p>
                      <w:p w:rsidR="00013B16" w:rsidRPr="00B417A8" w:rsidRDefault="00013B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עובד</w:t>
                        </w:r>
                      </w:p>
                    </w:tc>
                    <w:tc>
                      <w:tcPr>
                        <w:tcW w:w="569" w:type="pct"/>
                        <w:vMerge/>
                      </w:tcPr>
                      <w:p w:rsidR="00013B16" w:rsidRDefault="00013B1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13B16" w:rsidRDefault="00013B1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687" o:spid="_x0000_s1028" type="#_x0000_t202" style="position:absolute;left:0;text-align:left;margin-left:127.65pt;margin-top:317.65pt;width:283.15pt;height:28.5pt;z-index:1;mso-wrap-style:none;mso-position-horizontal-relative:page;mso-position-vertical-relative:page" stroked="f">
            <v:textbox style="mso-next-textbox:#_x0000_s17687" inset="0,0,0,0">
              <w:txbxContent>
                <w:p w:rsidR="00013B16" w:rsidRPr="00B417A8" w:rsidRDefault="00013B16">
                  <w:pPr>
                    <w:pStyle w:val="OCRStyle1"/>
                    <w:ind w:left="11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לשכת עורכי הדין (תיקון מס' 7), תשל"א-1971 *</w:t>
                  </w:r>
                </w:p>
              </w:txbxContent>
            </v:textbox>
            <w10:wrap anchorx="page" anchory="page"/>
          </v:shape>
        </w:pict>
      </w:r>
    </w:p>
    <w:p w:rsidR="008F2FE0" w:rsidRDefault="008F2FE0">
      <w:pPr>
        <w:rPr>
          <w:rtl/>
        </w:rPr>
      </w:pPr>
      <w:r>
        <w:rPr>
          <w:rtl/>
        </w:rPr>
        <w:br w:type="page"/>
      </w:r>
    </w:p>
    <w:p w:rsidR="008F2FE0" w:rsidRDefault="00000000">
      <w:pPr>
        <w:rPr>
          <w:rtl/>
        </w:rPr>
      </w:pPr>
      <w:r>
        <w:pict>
          <v:shape id="_x0000_s17688" o:spid="_x0000_s1029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7688" inset="0,0,0,0">
              <w:txbxContent>
                <w:p w:rsidR="00013B16" w:rsidRDefault="00013B16">
                  <w:r>
                    <w:rPr>
                      <w:rtl/>
                    </w:rPr>
                    <w:t>181                                          ספר החוקים 635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89" o:spid="_x0000_s1030" type="#_x0000_t202" style="position:absolute;left:0;text-align:left;margin-left:354.5pt;margin-top:706.35pt;width:210.85pt;height:63.75pt;z-index:14;mso-wrap-style:none;mso-position-horizontal-relative:page;mso-position-vertical-relative:page" stroked="f">
            <v:textbox style="mso-next-textbox:#_x0000_s17689" inset="0,0,0,0">
              <w:txbxContent>
                <w:p w:rsidR="00013B16" w:rsidRDefault="00013B16">
                  <w:pPr>
                    <w:pStyle w:val="OCRStyle2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בתמוז תשל"א (7 יובלי 1971).</w:t>
                  </w:r>
                </w:p>
                <w:p w:rsidR="00013B16" w:rsidRPr="008F2FE0" w:rsidRDefault="00013B16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1 ס''ח 615, תשל"א, ענף 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90" o:spid="_x0000_s1031" type="#_x0000_t202" style="position:absolute;left:0;text-align:left;margin-left:209pt;margin-top:656.45pt;width:89.7pt;height:34.45pt;z-index:13;mso-wrap-style:none;mso-position-horizontal-relative:page;mso-position-vertical-relative:page" stroked="f">
            <v:textbox style="mso-next-textbox:#_x0000_s17690" inset="0,0,0,0">
              <w:txbxContent>
                <w:p w:rsidR="00013B16" w:rsidRDefault="00013B16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ראובן ברקת</w:t>
                  </w:r>
                </w:p>
                <w:p w:rsidR="00013B16" w:rsidRDefault="00013B16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91" o:spid="_x0000_s1032" type="#_x0000_t202" style="position:absolute;left:0;text-align:left;margin-left:311.55pt;margin-top:653.9pt;width:116.25pt;height:37.05pt;z-index:12;mso-wrap-style:none;mso-position-horizontal-relative:page;mso-position-vertical-relative:page" stroked="f">
            <v:textbox style="mso-next-textbox:#_x0000_s17691" inset="0,0,0,0">
              <w:txbxContent>
                <w:p w:rsidR="00013B16" w:rsidRDefault="00013B16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יעקב ש' שפיר*</w:t>
                  </w:r>
                </w:p>
                <w:p w:rsidR="00013B16" w:rsidRDefault="00013B16">
                  <w:pPr>
                    <w:pStyle w:val="OCRStyle2"/>
                    <w:ind w:left="52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92" o:spid="_x0000_s1033" type="#_x0000_t202" style="position:absolute;left:0;text-align:left;margin-left:175.5pt;margin-top:511.9pt;width:389.05pt;height:136.05pt;z-index:11;mso-wrap-style:none;mso-position-horizontal-relative:page;mso-position-vertical-relative:page" stroked="f">
            <v:textbox style="mso-next-textbox:#_x0000_s17692" inset="0,0,0,0">
              <w:txbxContent>
                <w:p w:rsidR="00013B16" w:rsidRDefault="00013B16">
                  <w:pPr>
                    <w:pStyle w:val="OCRStyle2"/>
                    <w:ind w:left="300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תיקון שעות ?</w:t>
                  </w:r>
                </w:p>
                <w:p w:rsidR="00013B16" w:rsidRDefault="00013B16">
                  <w:pPr>
                    <w:pStyle w:val="OCRStyle2"/>
                    <w:ind w:left="1674"/>
                    <w:rPr>
                      <w:rtl/>
                    </w:rPr>
                  </w:pPr>
                  <w:r>
                    <w:rPr>
                      <w:rtl/>
                    </w:rPr>
                    <w:t>(סעיף 10א (ב) לפקודת סדרי השלטון והמשפט, תשיח-1948)</w:t>
                  </w:r>
                </w:p>
                <w:p w:rsidR="00013B16" w:rsidRDefault="00013B16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1. בתוספת לחוק המכר (מכר טובין בין-לאומי), תשל"א-1971  1(להלן - התוספת),</w:t>
                  </w:r>
                </w:p>
                <w:p w:rsidR="00013B16" w:rsidRDefault="00013B16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בסעיף 44&lt;ב), במקום "45" יבוא "46".</w:t>
                  </w:r>
                </w:p>
                <w:p w:rsidR="00013B16" w:rsidRDefault="00013B16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2. בין סעיפים 95 ו-96 לתוספת יבוא:</w:t>
                  </w:r>
                </w:p>
                <w:p w:rsidR="00013B16" w:rsidRPr="008F2FE0" w:rsidRDefault="00013B16">
                  <w:pPr>
                    <w:pStyle w:val="OCRStyle2"/>
                    <w:ind w:left="2401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"פרק ו': העבדת הסיכון",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93" o:spid="_x0000_s1034" type="#_x0000_t202" style="position:absolute;left:0;text-align:left;margin-left:451.75pt;margin-top:413.7pt;width:107.7pt;height:75.85pt;z-index:10;mso-wrap-style:none;mso-position-horizontal-relative:page;mso-position-vertical-relative:page" stroked="f">
            <v:textbox style="mso-next-textbox:#_x0000_s17693" inset="0,0,0,0">
              <w:txbxContent>
                <w:p w:rsidR="00013B16" w:rsidRDefault="00013B16">
                  <w:pPr>
                    <w:pStyle w:val="OCRStyle2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2 ס"ח תשכ''ג, עמ' 136.</w:t>
                  </w:r>
                </w:p>
                <w:p w:rsidR="00013B16" w:rsidRDefault="00013B16">
                  <w:pPr>
                    <w:pStyle w:val="OCRStyle2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3 ס"ח תשייט, עמ' .32</w:t>
                  </w:r>
                </w:p>
                <w:p w:rsidR="00013B16" w:rsidRDefault="00013B16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4 ס''ח תש''ט, עמ' .13</w:t>
                  </w:r>
                </w:p>
                <w:p w:rsidR="00013B16" w:rsidRDefault="00013B16">
                  <w:pPr>
                    <w:pStyle w:val="OCRStyle2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5 ס''ח תשי"ט, עמי .87</w:t>
                  </w:r>
                </w:p>
                <w:p w:rsidR="00013B16" w:rsidRDefault="00013B16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6 ס"ח תשכ"ג, עמ' .50</w:t>
                  </w:r>
                </w:p>
                <w:p w:rsidR="00013B16" w:rsidRDefault="00013B16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7 טיח תשיל, עמ' .65</w:t>
                  </w:r>
                </w:p>
                <w:p w:rsidR="00013B16" w:rsidRPr="008F2FE0" w:rsidRDefault="00013B16">
                  <w:pPr>
                    <w:pStyle w:val="OCRStyle2"/>
                    <w:ind w:left="385"/>
                  </w:pPr>
                  <w:r>
                    <w:rPr>
                      <w:rtl/>
                    </w:rPr>
                    <w:t>8 ס''ח תשייט, עמ' .190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94" o:spid="_x0000_s1035" type="#_x0000_t202" style="position:absolute;left:0;text-align:left;margin-left:444pt;margin-top:367.2pt;width:109.3pt;height:37.8pt;z-index:9;mso-wrap-style:none;mso-position-horizontal-relative:page;mso-position-vertical-relative:page" stroked="f">
            <v:textbox style="mso-next-textbox:#_x0000_s17694" inset="0,0,0,0">
              <w:txbxContent>
                <w:p w:rsidR="00013B16" w:rsidRDefault="00013B16">
                  <w:pPr>
                    <w:pStyle w:val="OCRStyle2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13B16" w:rsidRDefault="00013B16">
                  <w:pPr>
                    <w:pStyle w:val="OCRStyle2"/>
                    <w:ind w:left="4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95" o:spid="_x0000_s1036" type="#_x0000_t202" style="position:absolute;left:0;text-align:left;margin-left:171.95pt;margin-top:325pt;width:118pt;height:42.15pt;z-index:8;mso-wrap-style:none;mso-position-horizontal-relative:page;mso-position-vertical-relative:page" stroked="f">
            <v:textbox style="mso-next-textbox:#_x0000_s17695" inset="0,0,0,0">
              <w:txbxContent>
                <w:p w:rsidR="00013B16" w:rsidRDefault="00013B16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013B16" w:rsidRDefault="00013B16">
                  <w:pPr>
                    <w:pStyle w:val="OCRStyle2"/>
                    <w:ind w:left="46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96" o:spid="_x0000_s1037" type="#_x0000_t202" style="position:absolute;left:0;text-align:left;margin-left:321.05pt;margin-top:325.8pt;width:105.75pt;height:38pt;z-index:7;mso-wrap-style:none;mso-position-horizontal-relative:page;mso-position-vertical-relative:page" stroked="f">
            <v:textbox style="mso-next-textbox:#_x0000_s17696" inset="0,0,0,0">
              <w:txbxContent>
                <w:p w:rsidR="00013B16" w:rsidRDefault="00013B16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013B16" w:rsidRDefault="00013B16">
                  <w:pPr>
                    <w:pStyle w:val="OCRStyle2"/>
                    <w:ind w:left="47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97" o:spid="_x0000_s1038" type="#_x0000_t202" style="position:absolute;left:0;text-align:left;margin-left:197.9pt;margin-top:147.6pt;width:352.85pt;height:169.7pt;z-index:6;mso-wrap-style:none;mso-position-horizontal-relative:page;mso-position-vertical-relative:page" stroked="f">
            <v:textbox style="mso-next-textbox:#_x0000_s17697" inset="0,0,0,0">
              <w:txbxContent>
                <w:p w:rsidR="00013B16" w:rsidRDefault="00013B16">
                  <w:pPr>
                    <w:pStyle w:val="OCRStyle2"/>
                    <w:ind w:left="2945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''תוספת</w:t>
                  </w:r>
                </w:p>
                <w:p w:rsidR="00013B16" w:rsidRDefault="00013B16">
                  <w:pPr>
                    <w:pStyle w:val="OCRStyle2"/>
                    <w:ind w:left="2830"/>
                    <w:rPr>
                      <w:rtl/>
                    </w:rPr>
                  </w:pPr>
                  <w:r>
                    <w:rPr>
                      <w:rtl/>
                    </w:rPr>
                    <w:t>(סעיף 41א)</w:t>
                  </w:r>
                </w:p>
                <w:p w:rsidR="00013B16" w:rsidRDefault="00013B16">
                  <w:pPr>
                    <w:pStyle w:val="OCRStyle2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(1) חוק פיצויי פיטורים, תשכ"ג-1963 2;</w:t>
                  </w:r>
                </w:p>
                <w:p w:rsidR="00013B16" w:rsidRDefault="00013B16">
                  <w:pPr>
                    <w:pStyle w:val="OCRStyle2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(2) חוק שירות התעסוקה, תשי"ט-1959 3;</w:t>
                  </w:r>
                </w:p>
                <w:p w:rsidR="00013B16" w:rsidRDefault="00013B16">
                  <w:pPr>
                    <w:pStyle w:val="OCRStyle2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(3) חוק החיילים המשוחררים (החזרה לעבודה), תש"ט-1949 4;</w:t>
                  </w:r>
                </w:p>
                <w:p w:rsidR="00013B16" w:rsidRDefault="00013B16">
                  <w:pPr>
                    <w:pStyle w:val="OCRStyle2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(4) חוק שירות המדינה (מינויים), תשי"ט-1959 5;</w:t>
                  </w:r>
                </w:p>
                <w:p w:rsidR="00013B16" w:rsidRDefault="00013B16">
                  <w:pPr>
                    <w:pStyle w:val="OCRStyle2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(5) חוק שירות המדינה (משמעת), תשכ"ג-1963 6;</w:t>
                  </w:r>
                </w:p>
                <w:p w:rsidR="00013B16" w:rsidRDefault="00013B16">
                  <w:pPr>
                    <w:pStyle w:val="OCRStyle2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(6) חוק שירות המדינה (גמלאות) [נוסח משולב], תש"ל-1970 7;</w:t>
                  </w:r>
                </w:p>
                <w:p w:rsidR="00013B16" w:rsidRDefault="00013B16">
                  <w:pPr>
                    <w:pStyle w:val="OCRStyle2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(7) חוק שירות המדינה (סיוג פעילות מפלגתית ומגבית כספים),</w:t>
                  </w:r>
                </w:p>
                <w:p w:rsidR="00013B16" w:rsidRPr="008F2FE0" w:rsidRDefault="00013B16">
                  <w:pPr>
                    <w:pStyle w:val="OCRStyle2"/>
                    <w:ind w:left="940"/>
                  </w:pPr>
                  <w:r>
                    <w:rPr>
                      <w:rtl/>
                    </w:rPr>
                    <w:t>תשי"ט-81959."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98" o:spid="_x0000_s1039" type="#_x0000_t202" style="position:absolute;left:0;text-align:left;margin-left:115.15pt;margin-top:112.35pt;width:441.75pt;height:29.3pt;z-index:5;mso-wrap-style:none;mso-position-horizontal-relative:page;mso-position-vertical-relative:page" stroked="f">
            <v:textbox style="mso-next-textbox:#_x0000_s17698" inset="0,0,0,0">
              <w:txbxContent>
                <w:tbl>
                  <w:tblPr>
                    <w:tblW w:w="47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3"/>
                    <w:gridCol w:w="6667"/>
                  </w:tblGrid>
                  <w:tr w:rsidR="00013B16" w:rsidRPr="008F2FE0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013B16" w:rsidRPr="008F2FE0" w:rsidRDefault="00013B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תוספת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013B16" w:rsidRPr="008F2FE0" w:rsidRDefault="00013B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113 לחוק העיקרי תבוא תוספת זו:</w:t>
                        </w:r>
                      </w:p>
                    </w:tc>
                  </w:tr>
                </w:tbl>
                <w:p w:rsidR="00013B16" w:rsidRDefault="00013B1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13B16" w:rsidRDefault="00013B16">
      <w:pPr>
        <w:rPr>
          <w:rtl/>
        </w:rPr>
      </w:pPr>
      <w:r>
        <w:rPr>
          <w:rtl/>
        </w:rPr>
        <w:br w:type="page"/>
      </w:r>
    </w:p>
    <w:p w:rsidR="00013B16" w:rsidRDefault="00000000">
      <w:pPr>
        <w:rPr>
          <w:rtl/>
        </w:rPr>
      </w:pPr>
      <w:r>
        <w:pict>
          <v:shape id="_x0000_s17699" o:spid="_x0000_s1040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7699" inset="0,0,0,0">
              <w:txbxContent>
                <w:p w:rsidR="00013B16" w:rsidRDefault="00013B16">
                  <w:r>
                    <w:rPr>
                      <w:rtl/>
                    </w:rPr>
                    <w:t>182                                          ספר החוקים 635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00" o:spid="_x0000_s1041" type="#_x0000_t202" style="position:absolute;left:0;text-align:left;margin-left:83.75pt;margin-top:712.85pt;width:145.55pt;height:44.75pt;z-index:16;mso-wrap-style:none;mso-position-horizontal-relative:page;mso-position-vertical-relative:page" stroked="f">
            <v:textbox style="mso-next-textbox:#_x0000_s17700" inset="0,0,0,0">
              <w:txbxContent>
                <w:p w:rsidR="00013B16" w:rsidRDefault="00013B1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417A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2135D85-095B-4ACE-A96C-646500A9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17A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F2FE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13B1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22</Characters>
  <Application>Microsoft Office Word</Application>
  <DocSecurity>4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2008-04-09T15:06:00Z</dcterms:created>
  <dcterms:modified xsi:type="dcterms:W3CDTF">2008-04-09T15:07:00Z</dcterms:modified>
</cp:coreProperties>
</file>