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368CD" w:rsidRDefault="000368CD">
      <w:pPr>
        <w:rPr>
          <w:rtl/>
        </w:rPr>
      </w:pPr>
    </w:p>
    <w:p w:rsidR="000368C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772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7721" inset="0,0,0,0">
              <w:txbxContent>
                <w:p w:rsidR="00C42159" w:rsidRDefault="00C42159">
                  <w:r>
                    <w:rPr>
                      <w:rtl/>
                    </w:rPr>
                    <w:t>145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22" o:spid="_x0000_s1026" type="#_x0000_t202" style="position:absolute;left:0;text-align:left;margin-left:124.25pt;margin-top:668.3pt;width:398.55pt;height:76.45pt;z-index:3;mso-position-horizontal-relative:page;mso-position-vertical-relative:page" stroked="f">
            <v:textbox style="mso-next-textbox:#_x0000_s17722" inset="0,0,0,0">
              <w:txbxContent>
                <w:p w:rsidR="00C42159" w:rsidRDefault="00C42159">
                  <w:pPr>
                    <w:pStyle w:val="OCRStyle1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י''ז באב תשכ''ג (7 באוגוסט 1963); הצעת החוק ודברי הסבר פורסמו בה''ח 387, תשכ"ג,</w:t>
                  </w:r>
                </w:p>
                <w:p w:rsidR="00C42159" w:rsidRDefault="00C42159">
                  <w:pPr>
                    <w:pStyle w:val="OCRStyle1"/>
                    <w:ind w:left="56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314.</w:t>
                  </w:r>
                </w:p>
                <w:p w:rsidR="00C42159" w:rsidRPr="000368CD" w:rsidRDefault="00C42159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תשכ"א' עמ' 178; תשכ"ב, עמ' 13; תשכ"ג, עמ' 68.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23" o:spid="_x0000_s1027" type="#_x0000_t202" style="position:absolute;left:0;text-align:left;margin-left:75.15pt;margin-top:109.55pt;width:460.55pt;height:556pt;z-index:2;mso-position-horizontal-relative:page;mso-position-vertical-relative:page" stroked="f">
            <v:textbox style="mso-next-textbox:#_x0000_s17723" inset="0,0,0,0">
              <w:txbxContent>
                <w:tbl>
                  <w:tblPr>
                    <w:tblW w:w="431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022"/>
                    <w:gridCol w:w="5377"/>
                    <w:gridCol w:w="1751"/>
                  </w:tblGrid>
                  <w:tr w:rsidR="00C42159" w:rsidRPr="000368CD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42159" w:rsidRPr="000368CD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25</w:t>
                        </w:r>
                      </w:p>
                    </w:tc>
                    <w:tc>
                      <w:tcPr>
                        <w:tcW w:w="4373" w:type="pct"/>
                        <w:gridSpan w:val="2"/>
                      </w:tcPr>
                      <w:p w:rsidR="00C42159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לשכת עורכי-הדין, תשכ"א-1961 1 (להלן - החוק)' בסעיף 25' במקום פסקה (3)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"(3) מי שהוסמך בחוץ לארץ לעריכת דין ושימש בחוץ לארץ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שבתיים עורך דין או בתפקיד שיפוטי. ומי ששימש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כחוץ לארץ לפחות שנתיים בתפקיד שיפוטי שרק כעל השכלה</w:t>
                        </w:r>
                      </w:p>
                      <w:p w:rsidR="00C42159" w:rsidRPr="000368CD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משפטית כשיר לו."</w:t>
                        </w:r>
                      </w:p>
                    </w:tc>
                  </w:tr>
                  <w:tr w:rsidR="00C42159" w:rsidRPr="000368CD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42159" w:rsidRPr="000368CD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26</w:t>
                        </w:r>
                      </w:p>
                    </w:tc>
                    <w:tc>
                      <w:tcPr>
                        <w:tcW w:w="4373" w:type="pct"/>
                        <w:gridSpan w:val="2"/>
                      </w:tcPr>
                      <w:p w:rsidR="00C42159" w:rsidRPr="000368CD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כמקום סעיף 26 לחוק יבוא:</w:t>
                        </w:r>
                      </w:p>
                    </w:tc>
                  </w:tr>
                  <w:tr w:rsidR="00C42159" w:rsidRPr="000368CD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אלה רשאים להירשם כמתמחים: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מי שקיבל בפקולטה כאמור כסעיף 2.5(1) תעודת בוגר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אישור שמילא אחר דרישות הפקולטה לקבלת תעודת בוגר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אישור שסיים תקופת לימודיו בפקולטה או אישור שהוא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זכאי לעבור לשנת לימודיו האחרונה ועמד ככל הבחינות של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שנות לימודיו הקודמות;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בוגר כאמור בסעיף 25 (2) לאחר שהוכיח ידיעה מספיקה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בשפה העברית ולאחר שעמד בבחינות הלשכה בדיני מדינת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ישראל. סרט לבחינות שפוטר מהן בהתאם לתקנות. אולם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הוא להירשם כמתמחה גם אם עדיין לא עמד בשתיים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מבחינות אלה;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מי שנתקיימו בו התנאים האמורים כסעיף 25 (3), לאחר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שהוכיח ידיעה מספיקה בשפה העברית."</w:t>
                        </w:r>
                      </w:p>
                    </w:tc>
                    <w:tc>
                      <w:tcPr>
                        <w:tcW w:w="1074" w:type="pct"/>
                      </w:tcPr>
                      <w:p w:rsidR="00C42159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''תנאים לרישום</w:t>
                        </w:r>
                      </w:p>
                      <w:p w:rsidR="00C42159" w:rsidRPr="000368CD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מתמחה</w:t>
                        </w:r>
                      </w:p>
                    </w:tc>
                  </w:tr>
                  <w:tr w:rsidR="00C42159" w:rsidRPr="000368CD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42159" w:rsidRPr="000368CD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סעיף 35</w:t>
                        </w:r>
                      </w:p>
                    </w:tc>
                    <w:tc>
                      <w:tcPr>
                        <w:tcW w:w="4373" w:type="pct"/>
                        <w:gridSpan w:val="2"/>
                      </w:tcPr>
                      <w:p w:rsidR="00C42159" w:rsidRPr="000368CD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גג לחוק יבוא:</w:t>
                        </w:r>
                      </w:p>
                    </w:tc>
                  </w:tr>
                  <w:tr w:rsidR="00C42159" w:rsidRPr="000368CD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(א) תקופת ההתמחות תהיה שתי שנים.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שהוסמך בחוץ לארץ לעריכת דין ושימש בחוץ לארץ עורך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דין או בתפקיד שיפוטי לפחות שנתיים. ומי ששימש בחוץ לארץ לפחות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שנתיים בתפקיד שיפוטי שרק כעל השכלה משפטית כשיר לו' תהיה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התמחותו שנה. ורשאית הלשכה להפחית תקופה זו ובלבד שלא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תפחת מששה חדשים; שימש כאמור פחות משנתיים - רשאית הלשכה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להפחית את תקופת ההתמחות שהוא חייב כה ובלבד שלא תפחת משנה.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מי שתקופת התמחותו היא שנה או יותר' חייב להתמחות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לפחות ששה חדשים כמשרד עורך דין פרטי או בלשכה של פרקליטות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או פרקליטות מחוז."</w:t>
                        </w:r>
                      </w:p>
                    </w:tc>
                    <w:tc>
                      <w:tcPr>
                        <w:tcW w:w="1074" w:type="pct"/>
                      </w:tcPr>
                      <w:p w:rsidR="00C42159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''תקופת</w:t>
                        </w:r>
                      </w:p>
                      <w:p w:rsidR="00C42159" w:rsidRPr="000368CD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ההתמחות</w:t>
                        </w:r>
                      </w:p>
                    </w:tc>
                  </w:tr>
                  <w:tr w:rsidR="00C42159" w:rsidRPr="000368CD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42159" w:rsidRPr="000368CD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או.</w:t>
                        </w:r>
                      </w:p>
                    </w:tc>
                    <w:tc>
                      <w:tcPr>
                        <w:tcW w:w="4373" w:type="pct"/>
                        <w:gridSpan w:val="2"/>
                      </w:tcPr>
                      <w:p w:rsidR="00C42159" w:rsidRPr="000368CD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סעיף 16: לחוק - בטל.</w:t>
                        </w:r>
                      </w:p>
                    </w:tc>
                  </w:tr>
                  <w:tr w:rsidR="00C42159" w:rsidRPr="000368CD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42159" w:rsidRPr="000368CD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7ד.</w:t>
                        </w:r>
                      </w:p>
                    </w:tc>
                    <w:tc>
                      <w:tcPr>
                        <w:tcW w:w="4373" w:type="pct"/>
                        <w:gridSpan w:val="2"/>
                      </w:tcPr>
                      <w:p w:rsidR="00C42159" w:rsidRPr="000368CD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37 לחוק יבוא:</w:t>
                        </w:r>
                      </w:p>
                    </w:tc>
                  </w:tr>
                  <w:tr w:rsidR="00C42159" w:rsidRPr="000368CD">
                    <w:trPr>
                      <w:jc w:val="right"/>
                    </w:trPr>
                    <w:tc>
                      <w:tcPr>
                        <w:tcW w:w="627" w:type="pct"/>
                      </w:tcPr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37א. מי שנתקיימו בו התנאים האמורים בסעיף 25(3) חייב להיבחן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בבחינות הלשכה בדיני מדינת ישראל. פרט לבחינות שפוטר מהן בהתאם</w:t>
                        </w:r>
                      </w:p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לתקנות."</w:t>
                        </w:r>
                      </w:p>
                    </w:tc>
                    <w:tc>
                      <w:tcPr>
                        <w:tcW w:w="1074" w:type="pct"/>
                      </w:tcPr>
                      <w:p w:rsidR="00C42159" w:rsidRDefault="00C4215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"בחינות בדיני</w:t>
                        </w:r>
                      </w:p>
                      <w:p w:rsidR="00C42159" w:rsidRPr="000368CD" w:rsidRDefault="00C4215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ישראל</w:t>
                        </w:r>
                      </w:p>
                    </w:tc>
                  </w:tr>
                </w:tbl>
                <w:p w:rsidR="00C42159" w:rsidRDefault="00C4215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7724" o:spid="_x0000_s1028" type="#_x0000_t202" style="position:absolute;left:0;text-align:left;margin-left:175.75pt;margin-top:82.8pt;width:294.45pt;height:24.15pt;z-index:1;mso-position-horizontal-relative:page;mso-position-vertical-relative:page" stroked="f">
            <v:textbox style="mso-next-textbox:#_x0000_s17724" inset="0,0,0,0">
              <w:txbxContent>
                <w:p w:rsidR="00C42159" w:rsidRPr="000368CD" w:rsidRDefault="00C42159">
                  <w:pPr>
                    <w:pStyle w:val="OCRStyle1"/>
                    <w:ind w:left="155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לשכת עורכי הדין (תיקון מס' 3), תשכ"ג-1963*</w:t>
                  </w:r>
                </w:p>
              </w:txbxContent>
            </v:textbox>
            <w10:wrap anchorx="page" anchory="page"/>
          </v:shape>
        </w:pict>
      </w:r>
    </w:p>
    <w:p w:rsidR="00A41C1A" w:rsidRDefault="00A41C1A">
      <w:pPr>
        <w:rPr>
          <w:rtl/>
        </w:rPr>
      </w:pPr>
      <w:r>
        <w:rPr>
          <w:rtl/>
        </w:rPr>
        <w:br w:type="page"/>
      </w:r>
    </w:p>
    <w:p w:rsidR="00A41C1A" w:rsidRDefault="00000000">
      <w:pPr>
        <w:rPr>
          <w:rtl/>
        </w:rPr>
      </w:pPr>
      <w:r>
        <w:pict>
          <v:shape id="_x0000_s17725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7725" inset="0,0,0,0">
              <w:txbxContent>
                <w:p w:rsidR="00C42159" w:rsidRDefault="00C42159">
                  <w:r>
                    <w:rPr>
                      <w:rtl/>
                    </w:rPr>
                    <w:t>146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26" o:spid="_x0000_s1030" type="#_x0000_t202" style="position:absolute;left:0;text-align:left;margin-left:95.05pt;margin-top:711.95pt;width:173.85pt;height:25.95pt;z-index:6;mso-position-horizontal-relative:page;mso-position-vertical-relative:page" stroked="f">
            <v:textbox style="mso-next-textbox:#_x0000_s17726" inset="0,0,0,0">
              <w:txbxContent>
                <w:p w:rsidR="00C42159" w:rsidRDefault="00C421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7727" o:spid="_x0000_s1031" type="#_x0000_t202" style="position:absolute;left:0;text-align:left;margin-left:97.6pt;margin-top:62.1pt;width:464.1pt;height:636.15pt;z-index:5;mso-position-horizontal-relative:page;mso-position-vertical-relative:page" stroked="f">
            <v:textbox style="mso-next-textbox:#_x0000_s1772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45"/>
                    <w:gridCol w:w="1465"/>
                    <w:gridCol w:w="1328"/>
                  </w:tblGrid>
                  <w:tr w:rsidR="00C42159" w:rsidRPr="00A41C1A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38 לחוק יבוא: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38</w:t>
                        </w:r>
                      </w:p>
                    </w:tc>
                  </w:tr>
                  <w:tr w:rsidR="00C42159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38. (א) בתום תקופת ההתמחות על המועמד לחברות בלשכה להיבחן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בבחינות הלשכה במקצועות מעשיים; ואולם מי שהוסמך בחוץ לארץ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לעריכת דין ושימש בחוץ לארץ לפחות חמש שבים עורך דין או בתפקיד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שיפוטי ומי ששימש בחוץ לארץ לפחות חמש שבים בתפקיד שיפוטי שרק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:על השכלה משפטית כשיר לו. והוא התחיל בהתמחותו תוך עשר שבים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עלייתו ארצה, פטור מבחינה זו.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(ב&gt; מי שברשם כמתמחה לפי סעיף 26(0 על סי אישור שסיים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זקופת לימודיו בפקולטה או על פי אישור שהוא זכאי לעבור לשבת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לימודיו האחרובה ועמד בכל הבחינות של שבות לימודיו הקודמות, לא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ייבחן בבחינת ההתמחות אלא לאחר שקיבל תעודת בוגר או אישור שמילא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 דרישות הפקולטה לקבלת תעודת בוגר; מי שנרשם לפי סעיף 26 (2)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וגו (3) לפני שעמד בכל בחינות הלשכה בדיבי ישראל שלא פוטר מהן.</w:t>
                        </w:r>
                      </w:p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ייבחן בבחינות ההתמחות אלא לאחר שעמד באותן הבחינות."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"בחינות התמחות"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/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42159" w:rsidRPr="00A41C1A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39 לחוק יבוא: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39</w:t>
                        </w:r>
                      </w:p>
                    </w:tc>
                  </w:tr>
                  <w:tr w:rsidR="00C42159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39. תכבית הבחיבות לפי הסעיפים 26(2), 37א ו-38 וסדריהן ייקבעו</w:t>
                        </w:r>
                      </w:p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"תכנית הבחינות </w:t>
                        </w:r>
                      </w:p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וסדריהן 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42159" w:rsidRPr="00A41C1A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אחרי סעיף 52א לחוק יבוא: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52ב</w:t>
                        </w:r>
                      </w:p>
                    </w:tc>
                  </w:tr>
                  <w:tr w:rsidR="00C42159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52ב. חבר הלשכה שאיבו עוסק בעריכת דין - אם בכלל ואם כנציגו של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היועץ המשפטי לממשלה - רשאי להודיע על כך ללשכה בכתב, ומשהודיע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וכל עוד לא ביטל הודעתו, יחולו עליו הוראות חוק זה בשיבויים אלה: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לא יעשה פעולות שנתייחדו לפי חוק זה לעורכי דין,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ואם עשה פעולה כזאת, דינו כאמור בסעיף 96;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יבחר ולא ייבחר למוסדות הלשכה ולא יתמנה או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ייבחר לתפקיד בה;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אינו חייב בדמי חבר ואגרות אחרות שהלשכה מטילה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חבריה."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"חברות מוגבלת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42159" w:rsidRPr="00A41C1A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כסעיף 102 לחוק, במקום "ואם קוצרה תקופת התמחותו על ידי המועצה המשפטית,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תקוצר באותה תקופה גם התמחותו לסי חוק זה" יבוא "מי שקוצרה תקופת התמחותו על-ידי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המועצה המשפטית, תקוצר באותה תקופה גם התמחותו לפי חוק זה, ובלבד שהתחיל התמחותו</w:t>
                        </w:r>
                      </w:p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לפבי תחילתו של חוק זה או תוך שנתיים לאחר תחילתו, וסעיף 35 (ג) לא יחול עליו."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102</w:t>
                        </w:r>
                      </w:p>
                    </w:tc>
                  </w:tr>
                  <w:tr w:rsidR="00C42159" w:rsidRPr="00A41C1A">
                    <w:trPr>
                      <w:jc w:val="right"/>
                    </w:trPr>
                    <w:tc>
                      <w:tcPr>
                        <w:tcW w:w="4213" w:type="pct"/>
                        <w:gridSpan w:val="2"/>
                      </w:tcPr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102 לחוק יבוא: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חוסמת סעיף 102*</w:t>
                        </w:r>
                      </w:p>
                    </w:tc>
                  </w:tr>
                  <w:tr w:rsidR="00C42159">
                    <w:trPr>
                      <w:jc w:val="right"/>
                    </w:trPr>
                    <w:tc>
                      <w:tcPr>
                        <w:tcW w:w="3345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102א. מי שנמנה עם סוגי בבי אדם שערב תחילתו של חוק זה היתה המועצה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המשפטית נוהגת להפחית תקופת התמחות בשל שירות מיוחד ששירת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לישוב, להקמת המדינה או למדינה, והתחיל בלימודיו בפקולטה כאמור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25 (1) לפגי יום כ"ט בסיון תשכ"א (13 ביוני 1961) ,רשאית הלשכה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להפחית תקופת התמחותו' ובלבד שלא תפחת משנה."</w:t>
                        </w:r>
                      </w:p>
                    </w:tc>
                    <w:tc>
                      <w:tcPr>
                        <w:tcW w:w="868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"הפחתת תקופת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התמחות לפי</w:t>
                        </w:r>
                      </w:p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ששירת שירות</w:t>
                        </w:r>
                      </w:p>
                      <w:p w:rsidR="00C42159" w:rsidRPr="00A41C1A" w:rsidRDefault="00C4215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</w:t>
                        </w:r>
                      </w:p>
                    </w:tc>
                    <w:tc>
                      <w:tcPr>
                        <w:tcW w:w="787" w:type="pct"/>
                      </w:tcPr>
                      <w:p w:rsidR="00C42159" w:rsidRDefault="00C42159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C42159" w:rsidRDefault="00C4215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C42159" w:rsidRDefault="00C42159">
      <w:pPr>
        <w:rPr>
          <w:rtl/>
        </w:rPr>
      </w:pPr>
      <w:r>
        <w:rPr>
          <w:rtl/>
        </w:rPr>
        <w:br w:type="page"/>
      </w:r>
    </w:p>
    <w:p w:rsidR="00C42159" w:rsidRDefault="00000000">
      <w:pPr>
        <w:rPr>
          <w:rtl/>
        </w:rPr>
      </w:pPr>
      <w:r>
        <w:pict>
          <v:shape id="_x0000_s17728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17728" inset="0,0,0,0">
              <w:txbxContent>
                <w:p w:rsidR="00C42159" w:rsidRDefault="00C42159">
                  <w:r>
                    <w:rPr>
                      <w:rtl/>
                    </w:rPr>
                    <w:t>147                                          ספר החוקים 404                    כ"ו באב התשכ"ג 16.08.1963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29" o:spid="_x0000_s1033" type="#_x0000_t202" style="position:absolute;left:0;text-align:left;margin-left:405.9pt;margin-top:334.4pt;width:103.15pt;height:18pt;z-index:12;mso-position-horizontal-relative:page;mso-position-vertical-relative:page" stroked="f">
            <v:textbox style="mso-next-textbox:#_x0000_s17729" inset="0,0,0,0">
              <w:txbxContent>
                <w:p w:rsidR="00C42159" w:rsidRPr="00C42159" w:rsidRDefault="00C42159">
                  <w:pPr>
                    <w:pStyle w:val="OCRStyle3"/>
                    <w:ind w:left="17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ס"ה תשכ"א, עמ' 56.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30" o:spid="_x0000_s1034" type="#_x0000_t202" style="position:absolute;left:0;text-align:left;margin-left:157pt;margin-top:264.5pt;width:87.9pt;height:35.45pt;z-index:11;mso-position-horizontal-relative:page;mso-position-vertical-relative:page" stroked="f">
            <v:textbox style="mso-next-textbox:#_x0000_s17730" inset="0,0,0,0">
              <w:txbxContent>
                <w:p w:rsidR="00C42159" w:rsidRDefault="00C42159">
                  <w:pPr>
                    <w:pStyle w:val="OCRStyle3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דב יוסף</w:t>
                  </w:r>
                </w:p>
                <w:p w:rsidR="00C42159" w:rsidRDefault="00C42159">
                  <w:pPr>
                    <w:pStyle w:val="OCRStyle3"/>
                    <w:ind w:left="24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31" o:spid="_x0000_s1035" type="#_x0000_t202" style="position:absolute;left:0;text-align:left;margin-left:275.8pt;margin-top:265.5pt;width:93.85pt;height:35.25pt;z-index:10;mso-position-horizontal-relative:page;mso-position-vertical-relative:page" stroked="f">
            <v:textbox style="mso-next-textbox:#_x0000_s17731" inset="0,0,0,0">
              <w:txbxContent>
                <w:p w:rsidR="00C42159" w:rsidRDefault="00C42159">
                  <w:pPr>
                    <w:pStyle w:val="OCRStyle3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C42159" w:rsidRDefault="00C42159">
                  <w:pPr>
                    <w:pStyle w:val="OCRStyle3"/>
                    <w:ind w:left="32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32" o:spid="_x0000_s1036" type="#_x0000_t202" style="position:absolute;left:0;text-align:left;margin-left:390.25pt;margin-top:297.35pt;width:128.3pt;height:31.7pt;z-index:9;mso-position-horizontal-relative:page;mso-position-vertical-relative:page" stroked="f">
            <v:textbox style="mso-next-textbox:#_x0000_s17732" inset="0,0,0,0">
              <w:txbxContent>
                <w:p w:rsidR="00C42159" w:rsidRDefault="00C42159">
                  <w:pPr>
                    <w:pStyle w:val="OCRStyle3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C42159" w:rsidRDefault="00C42159">
                  <w:pPr>
                    <w:pStyle w:val="OCRStyle3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7733" o:spid="_x0000_s1037" type="#_x0000_t202" style="position:absolute;left:0;text-align:left;margin-left:70.9pt;margin-top:62.35pt;width:457.2pt;height:188.5pt;z-index:8;mso-position-horizontal-relative:page;mso-position-vertical-relative:page" stroked="f">
            <v:textbox style="mso-next-textbox:#_x0000_s177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92"/>
                    <w:gridCol w:w="5549"/>
                    <w:gridCol w:w="1573"/>
                  </w:tblGrid>
                  <w:tr w:rsidR="00C42159" w:rsidRPr="00C42159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42159" w:rsidRPr="00C42159" w:rsidRDefault="00C4215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106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C42159" w:rsidRDefault="00C4215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בסעיף 106 לחוק, אחרי "כל מקום שחיקוק" יבוא ''חוץ מחוק זה", ואחרי "או מוסד</w:t>
                        </w:r>
                      </w:p>
                      <w:p w:rsidR="00C42159" w:rsidRPr="00C42159" w:rsidRDefault="00C421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ממוסדותיה" יבוא "או את לשכת הפרקליטים או לשכת עורכי הדין".</w:t>
                        </w:r>
                      </w:p>
                    </w:tc>
                  </w:tr>
                  <w:tr w:rsidR="00C42159" w:rsidRPr="00C42159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42159" w:rsidRPr="00C42159" w:rsidRDefault="00C4215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106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C42159" w:rsidRPr="00C42159" w:rsidRDefault="00C421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אחרי סעיף 106 לחוק יבוא:</w:t>
                        </w:r>
                      </w:p>
                    </w:tc>
                  </w:tr>
                  <w:tr w:rsidR="00C42159" w:rsidRPr="00C42159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42159" w:rsidRDefault="00C4215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37" w:type="pct"/>
                      </w:tcPr>
                      <w:p w:rsidR="00C42159" w:rsidRDefault="00C421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106א. כל מקום בחיקוק, חוץ מחוק זה' המדבר בפנקס עורכי הדין - אף</w:t>
                        </w:r>
                      </w:p>
                      <w:p w:rsidR="00C42159" w:rsidRDefault="00C421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פנקס חברי לשכת עורכי הדין כמשמע."</w:t>
                        </w:r>
                      </w:p>
                    </w:tc>
                    <w:tc>
                      <w:tcPr>
                        <w:tcW w:w="946" w:type="pct"/>
                      </w:tcPr>
                      <w:p w:rsidR="00C42159" w:rsidRPr="00C42159" w:rsidRDefault="00C4215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"תיאום חיקוקים</w:t>
                        </w:r>
                      </w:p>
                    </w:tc>
                  </w:tr>
                  <w:tr w:rsidR="00C42159" w:rsidRPr="00C42159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42159" w:rsidRDefault="00C4215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שיפוט</w:t>
                        </w:r>
                      </w:p>
                      <w:p w:rsidR="00C42159" w:rsidRPr="00C42159" w:rsidRDefault="00C4215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המשמעת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C42159" w:rsidRDefault="00C4215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בחוק שיפוט המשמעת (משפט חוזר)' תשכ"א-1961 2, בטור ב' לתוספת, בפרט (8),</w:t>
                        </w:r>
                      </w:p>
                      <w:p w:rsidR="00C42159" w:rsidRPr="00C42159" w:rsidRDefault="00C421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"יושב ראש המועצה המשפטית" יבוא "ראש לשכת עורכי הדין".</w:t>
                        </w:r>
                      </w:p>
                    </w:tc>
                  </w:tr>
                  <w:tr w:rsidR="00C42159" w:rsidRPr="00C42159">
                    <w:trPr>
                      <w:jc w:val="right"/>
                    </w:trPr>
                    <w:tc>
                      <w:tcPr>
                        <w:tcW w:w="717" w:type="pct"/>
                      </w:tcPr>
                      <w:p w:rsidR="00C42159" w:rsidRPr="00C42159" w:rsidRDefault="00C4215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  <w:tc>
                      <w:tcPr>
                        <w:tcW w:w="4283" w:type="pct"/>
                        <w:gridSpan w:val="2"/>
                      </w:tcPr>
                      <w:p w:rsidR="00C42159" w:rsidRDefault="00C42159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14. סעיף 3 אין בו כדי לגרוע מהפחתת תקופת התמחות שניתנה על ידי הלשכה לפי סעיף</w:t>
                        </w:r>
                      </w:p>
                      <w:p w:rsidR="00C42159" w:rsidRPr="00C42159" w:rsidRDefault="00C4215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36 לחוק לפני תחילת חוק זה.</w:t>
                        </w:r>
                      </w:p>
                    </w:tc>
                  </w:tr>
                </w:tbl>
                <w:p w:rsidR="00C42159" w:rsidRDefault="00C4215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E34233" w:rsidRDefault="00E34233">
      <w:bookmarkStart w:id="0" w:name="_PictureBullets"/>
      <w:bookmarkEnd w:id="0"/>
    </w:p>
    <w:sectPr w:rsidR="00E34233" w:rsidSect="000368C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68C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E2B6ED-DCE3-4434-8133-AF80C28F8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368C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A41C1A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C42159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edi</dc:creator>
  <cp:keywords/>
  <dc:description/>
  <cp:lastModifiedBy>edi</cp:lastModifiedBy>
  <cp:revision>4</cp:revision>
  <dcterms:created xsi:type="dcterms:W3CDTF">2008-04-07T11:05:00Z</dcterms:created>
  <dcterms:modified xsi:type="dcterms:W3CDTF">2008-04-07T11:05:00Z</dcterms:modified>
</cp:coreProperties>
</file>