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1153B" w:rsidRDefault="0041153B">
      <w:pPr>
        <w:rPr>
          <w:rtl/>
        </w:rPr>
      </w:pPr>
    </w:p>
    <w:p w:rsidR="004115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8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837" inset="0,0,0,0">
              <w:txbxContent>
                <w:p w:rsidR="00B034AA" w:rsidRDefault="00B034AA">
                  <w:r>
                    <w:rPr>
                      <w:rtl/>
                    </w:rPr>
                    <w:t>146                                          ספר החוקים 665                    כ"ג באב התשל"ב 03.08.1972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8" o:spid="_x0000_s1026" type="#_x0000_t202" style="position:absolute;left:0;text-align:left;margin-left:85.1pt;margin-top:659.35pt;width:381.35pt;height:89.5pt;z-index:3;mso-position-horizontal-relative:page;mso-position-vertical-relative:page" stroked="f">
            <v:textbox style="mso-next-textbox:#_x0000_s17838" inset="0,0,0,0">
              <w:txbxContent>
                <w:p w:rsidR="00B034AA" w:rsidRDefault="00B034A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י''ד באב תשל"ב (25 ביולי 1972); הצעת החוק ודברי הסבר פורסמו בה"ח 959, תשל"א,</w:t>
                  </w:r>
                </w:p>
                <w:p w:rsidR="00B034AA" w:rsidRDefault="00B034AA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עמ' 303.</w:t>
                  </w:r>
                </w:p>
                <w:p w:rsidR="00B034AA" w:rsidRPr="0041153B" w:rsidRDefault="00B034AA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1 ס''ח תשט"ז, עמ' 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39" o:spid="_x0000_s1027" type="#_x0000_t202" style="position:absolute;left:0;text-align:left;margin-left:95.4pt;margin-top:108.3pt;width:451.25pt;height:548.45pt;z-index:2;mso-position-horizontal-relative:page;mso-position-vertical-relative:page" stroked="f">
            <v:textbox style="mso-next-textbox:#_x0000_s17839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00"/>
                    <w:gridCol w:w="1573"/>
                    <w:gridCol w:w="1130"/>
                  </w:tblGrid>
                  <w:tr w:rsidR="00B034AA" w:rsidRPr="0041153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B034AA" w:rsidRDefault="00B034A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העזרה המשפטית למדינות זרות, תשט"ז-11956 (להלן - החוק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הגדרת "רשות שיפוטית" יבוא: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""רשות שיפוטית" - כל בית משפט או בית דין מוסמך במדינה זרה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רשות אחרת שמדינה זרה הודיעה שהיא רשות שיפוטית לענין</w:t>
                        </w:r>
                      </w:p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עזרה משפטית;".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B034AA" w:rsidRPr="0041153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העיקרי, אחרי "הצגת מסמכים" יבוא "על תפיסת מסמכים או חפצים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אחרים, ועל עריכת חיפוש", ובסופו יבוא "והכל בכפוף להוראות כל דין החל בישראל</w:t>
                        </w:r>
                      </w:p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ביצוע פעולות אלה, זולת אם יש בחוק זה הוראה אחרת".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B034AA" w:rsidRPr="0041153B">
                    <w:trPr>
                      <w:jc w:val="right"/>
                    </w:trPr>
                    <w:tc>
                      <w:tcPr>
                        <w:tcW w:w="4311" w:type="pct"/>
                        <w:gridSpan w:val="2"/>
                      </w:tcPr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6 לחוק העיקרי יבוא:</w:t>
                        </w:r>
                      </w:p>
                    </w:tc>
                    <w:tc>
                      <w:tcPr>
                        <w:tcW w:w="689" w:type="pct"/>
                        <w:vMerge w:val="restar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ו-6ב</w:t>
                        </w:r>
                      </w:p>
                    </w:tc>
                  </w:tr>
                  <w:tr w:rsidR="00B034AA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הגיעו חפצים או מסמכים (להלן - חפצים) לרשותו של בית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פי חוק זה, בין על פי צו חיפוש ובין בדרך אחרת, והם דרו-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שים לרשות השיפוטית כראיה בהליך פלילי, רשאי בית המשפט לצוות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מסירתם לידי הרשות השיפוטית או לידי אדם שהיא קבעה, הכל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שבית המשפט ראה להתנותם לשם הבטחת בטיחותם של החפצים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ושמירתם.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למסור לרשות השיפוטית במקום המסמך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שהגיע לידיו, כאמור בסעיף קטן (א), העתק מאושר או העתק צילומי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 של המסמך, זולת אם ביקשה הרשות השיפוטית במפורש למסור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מקור המסמך.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יצווה בית המשפט כאמור בסעיף קטן (א) אלא אם ראה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שנתקיימו כל אלה: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הטוען לזכות או לענין בחפץ, והוא ומקום מגוריו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ידועים לבית המשפט, ניתנה לו הזדמנות להשמיע את טענותיו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המשפט;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החפץ אינו דרוש בהליכים תלויים ועומדים בישראל;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הובטח להנחת דעתו של בית המשפט, כי החפץ יוחזר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בהקדם האפשרי אליו או אל מי שבית המשפט יורה עליו.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רשאי, על פי בקשת היועץ המשפטי לממשלה,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לוותר על החזרת החפץ, זולת אם התנגד לכך בעל זכות בחפץ.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שהוחזר אליו החפץ, יהיה רשאי לצוות שהחפץ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יימסר לאדם שממנו נלקח, או שינהגו בו בדרך אחרת כפי שיורה.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''מסירת חפצים</w:t>
                        </w:r>
                      </w:p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זרה</w:t>
                        </w:r>
                      </w:p>
                    </w:tc>
                    <w:tc>
                      <w:tcPr>
                        <w:tcW w:w="689" w:type="pct"/>
                        <w:vMerge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034AA">
                    <w:trPr>
                      <w:jc w:val="right"/>
                    </w:trPr>
                    <w:tc>
                      <w:tcPr>
                        <w:tcW w:w="3352" w:type="pc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בית המשפט רשאי שלא לצוות על מסירתם של חפצים לידי רשות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או על עריכת חיפוש או על תפיסת חפצים, אם נראה לו כי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הפעולות האמורות מבוקשות לצרכי הליכים בעבירה בעלת אופי מדיני."</w:t>
                        </w:r>
                      </w:p>
                    </w:tc>
                    <w:tc>
                      <w:tcPr>
                        <w:tcW w:w="959" w:type="pc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בית</w:t>
                        </w:r>
                      </w:p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בעבירות</w:t>
                        </w:r>
                      </w:p>
                      <w:p w:rsidR="00B034AA" w:rsidRPr="0041153B" w:rsidRDefault="00B034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 אופי מדיני</w:t>
                        </w:r>
                      </w:p>
                    </w:tc>
                    <w:tc>
                      <w:tcPr>
                        <w:tcW w:w="689" w:type="pct"/>
                      </w:tcPr>
                      <w:p w:rsidR="00B034AA" w:rsidRDefault="00B034A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034AA" w:rsidRDefault="00B034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840" o:spid="_x0000_s1028" type="#_x0000_t202" style="position:absolute;left:0;text-align:left;margin-left:123.9pt;margin-top:74.85pt;width:334.05pt;height:29.3pt;z-index:1;mso-position-horizontal-relative:page;mso-position-vertical-relative:page" stroked="f">
            <v:textbox style="mso-next-textbox:#_x0000_s17840" inset="0,0,0,0">
              <w:txbxContent>
                <w:p w:rsidR="00B034AA" w:rsidRPr="0041153B" w:rsidRDefault="00B034AA">
                  <w:pPr>
                    <w:pStyle w:val="OCRStyle1"/>
                    <w:ind w:left="25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העזרה המשפטית למדינות זרות (תיקון), תשל"ב-1972 *</w:t>
                  </w:r>
                </w:p>
              </w:txbxContent>
            </v:textbox>
            <w10:wrap anchorx="page" anchory="page"/>
          </v:shape>
        </w:pict>
      </w:r>
    </w:p>
    <w:p w:rsidR="00B034AA" w:rsidRDefault="00B034AA">
      <w:pPr>
        <w:rPr>
          <w:rtl/>
        </w:rPr>
      </w:pPr>
      <w:r>
        <w:rPr>
          <w:rtl/>
        </w:rPr>
        <w:br w:type="page"/>
      </w:r>
    </w:p>
    <w:p w:rsidR="00B034AA" w:rsidRDefault="00000000">
      <w:pPr>
        <w:rPr>
          <w:rtl/>
        </w:rPr>
      </w:pPr>
      <w:r>
        <w:pict>
          <v:shape id="_x0000_s1784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7841" inset="0,0,0,0">
              <w:txbxContent>
                <w:p w:rsidR="00B034AA" w:rsidRDefault="00B034AA">
                  <w:r>
                    <w:rPr>
                      <w:rtl/>
                    </w:rPr>
                    <w:t>147                                          ספר החוקים 665                    כ"ג באב התשל"ב 03.08.1972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2" o:spid="_x0000_s1030" type="#_x0000_t202" style="position:absolute;left:0;text-align:left;margin-left:382.2pt;margin-top:709.5pt;width:161.75pt;height:28.5pt;z-index:9;mso-position-horizontal-relative:page;mso-position-vertical-relative:page" stroked="f">
            <v:textbox style="mso-next-textbox:#_x0000_s17842" inset="0,0,0,0">
              <w:txbxContent>
                <w:p w:rsidR="00B034AA" w:rsidRDefault="00B034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843" o:spid="_x0000_s1031" type="#_x0000_t202" style="position:absolute;left:0;text-align:left;margin-left:152.35pt;margin-top:615.65pt;width:140.2pt;height:45.75pt;z-index:8;mso-position-horizontal-relative:page;mso-position-vertical-relative:page" stroked="f">
            <v:textbox style="mso-next-textbox:#_x0000_s17843" inset="0,0,0,0">
              <w:txbxContent>
                <w:p w:rsidR="00B034AA" w:rsidRDefault="00B034AA">
                  <w:pPr>
                    <w:pStyle w:val="OCRStyle2"/>
                    <w:ind w:left="5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034AA" w:rsidRDefault="00B034AA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ראש הממשלה ושר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4" o:spid="_x0000_s1032" type="#_x0000_t202" style="position:absolute;left:0;text-align:left;margin-left:302pt;margin-top:618.25pt;width:93.85pt;height:36.25pt;z-index:7;mso-position-horizontal-relative:page;mso-position-vertical-relative:page" stroked="f">
            <v:textbox style="mso-next-textbox:#_x0000_s17844" inset="0,0,0,0">
              <w:txbxContent>
                <w:p w:rsidR="00B034AA" w:rsidRDefault="00B034AA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034AA" w:rsidRDefault="00B034AA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5" o:spid="_x0000_s1033" type="#_x0000_t202" style="position:absolute;left:0;text-align:left;margin-left:416.65pt;margin-top:642.4pt;width:123.95pt;height:42.15pt;z-index:6;mso-position-horizontal-relative:page;mso-position-vertical-relative:page" stroked="f">
            <v:textbox style="mso-next-textbox:#_x0000_s17845" inset="0,0,0,0">
              <w:txbxContent>
                <w:p w:rsidR="00B034AA" w:rsidRDefault="00B034AA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034AA" w:rsidRDefault="00B034AA">
                  <w:pPr>
                    <w:pStyle w:val="OCRStyle2"/>
                    <w:ind w:left="56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846" o:spid="_x0000_s1034" type="#_x0000_t202" style="position:absolute;left:0;text-align:left;margin-left:87.4pt;margin-top:65.6pt;width:468.25pt;height:544.9pt;z-index:5;mso-position-horizontal-relative:page;mso-position-vertical-relative:page" stroked="f">
            <v:textbox style="mso-next-textbox:#_x0000_s1784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5635"/>
                    <w:gridCol w:w="1558"/>
                  </w:tblGrid>
                  <w:tr w:rsidR="00B034AA" w:rsidRPr="00B034AA">
                    <w:trPr>
                      <w:jc w:val="right"/>
                    </w:trPr>
                    <w:tc>
                      <w:tcPr>
                        <w:tcW w:w="776" w:type="pct"/>
                        <w:vMerge w:val="restar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הוספת. סעיפים</w:t>
                        </w:r>
                      </w:p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 עד 7ד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7 לחוק העיקרי יבוא:</w:t>
                        </w:r>
                      </w:p>
                    </w:tc>
                  </w:tr>
                  <w:tr w:rsidR="00B034AA" w:rsidRPr="00B034AA">
                    <w:trPr>
                      <w:jc w:val="right"/>
                    </w:trPr>
                    <w:tc>
                      <w:tcPr>
                        <w:tcW w:w="776" w:type="pct"/>
                        <w:vMerge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ביקשה רשות שיפוטית כי עציר או אסיר יתייצב אישית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בהליכים שלפניה, לשם מתן עדות או אימות, רשאי בית המשפט - על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היועץ המשפטי לממשלה או בא-כוחו ואם הסכים לכך העציר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האסיר בפני בית המשפט - להורות שהעציר או האסיר יועבר באורח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זמני לארץ שבה הוא מתבקש להתייצב, ובלבד שהובטח להנחת דעתו של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כי יוחזק שם במעצר או במאסר בתנאים דומים ככל האפשר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שבהם היה נתון במשמורת בישראל וכי יוחזר לישראל לא יאוחר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מתום התקופה שיקבע בית המשפט לפי סעיף קטן (ג).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יסביר לעציר או לאסיר את זכותו שלא להסכים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להעברתו לחוץ לארץ, ורשאי הוא שלא להורות כאמור בסעיף קטן (א)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אם, בין השאר, נוכחותו של העציר או האסיר הכרחית בהליכים פליליים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התלויים ועומדים בישראל או אם קיימים שיקולים מכריעים אחרים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המתנגדים להעברת העציר או האסיר למדינה המבקשת.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יקבע את תקופת שהותו של העציר או האסיר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במדינה המבקשת בהתחשב בזמן הדרוש לשמיעת עדותו או לביצוע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האימות כמבוקש, אולם תקופה זו לא תעלה על ששה חדשים ותהא קצרה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מהתקופה שבה מותר להחזיק את העציר או האסיר במשמורת בישראל.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שנמסר לשלטונות מדינה זרה לפי סעיף זה, רואים,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ענין, את תקופת מעצרו או מאסרו מחוץ לישראל כתקופה שהוא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בה את מאסרו בישראל, ורואים את החזקתו במעצר או במאסר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מחוץ לישראל כאמור - כהחזקה במשמורת בישראל.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"העברת אסירים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ועצירים לחוץ-</w:t>
                        </w:r>
                      </w:p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</w:t>
                        </w:r>
                      </w:p>
                    </w:tc>
                  </w:tr>
                  <w:tr w:rsidR="00B034AA" w:rsidRPr="00B034A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נמסר עציר או אסיר במדינה זרה לישראל לצורך התייצבות לפני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שיפוטית ישראלית, יהא זה חוקי להחזיקו, בתקופת שהותו ביש-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ראל, במאסר במקום שיורה נציב בתי הסוהר, אם ביקשה זאת רשות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 באותה מדינה זרה, או אם הסכימה לכך, ולתקופה שביקשה או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הסכימה לה.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עציר או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אסיר מחוץ לארץ</w:t>
                        </w:r>
                      </w:p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במשמורת</w:t>
                        </w:r>
                      </w:p>
                    </w:tc>
                  </w:tr>
                  <w:tr w:rsidR="00B034AA" w:rsidRPr="00B034A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7ג. אין להשתמש בסמכויות לפי חוק זה להסגרת אדם לחוץ לארץ כדי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שיועמד שם לדין על עבירה שעבר, או כדי שישא עונש שהוטל עליו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כאמור, ואין להשתמש בהן כדי להעמיד לדין אדם, שנמסר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 כאמור בסעיף 7ב, על עבירה שביצע לפני שנמסר, או כדי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לאסרו לשם נשיאת עונש שהוטל עליו בישראל על עבירה כאמור.</w:t>
                        </w:r>
                      </w:p>
                    </w:tc>
                    <w:tc>
                      <w:tcPr>
                        <w:tcW w:w="915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הסמכויות אינן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תחליף להליכי</w:t>
                        </w:r>
                      </w:p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הסגרה</w:t>
                        </w:r>
                      </w:p>
                    </w:tc>
                  </w:tr>
                  <w:tr w:rsidR="00B034AA" w:rsidRPr="00B034A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9" w:type="pct"/>
                      </w:tcPr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7ד. תעודה של שר החוץ האומרת שמדינה פלונית הודיעה, כי רשות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מרשויותיה היא רשות שיפוטית לענין עזרה משפטית, תהא ראיה</w:t>
                        </w:r>
                      </w:p>
                      <w:p w:rsid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למתן ההודעה."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B034AA" w:rsidRPr="00B034AA" w:rsidRDefault="00B034A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שר החוץ</w:t>
                        </w:r>
                      </w:p>
                    </w:tc>
                  </w:tr>
                </w:tbl>
                <w:p w:rsidR="00B034AA" w:rsidRDefault="00B034A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115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C88904-4A67-457D-B110-9904557FF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1153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034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2008-04-06T21:50:00Z</dcterms:created>
  <dcterms:modified xsi:type="dcterms:W3CDTF">2008-04-06T21:50:00Z</dcterms:modified>
</cp:coreProperties>
</file>