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2A7B" w:rsidRDefault="00C12A7B">
      <w:pPr>
        <w:rPr>
          <w:rtl/>
        </w:rPr>
      </w:pPr>
    </w:p>
    <w:p w:rsidR="00C12A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0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054" inset="0,0,0,0">
              <w:txbxContent>
                <w:p w:rsidR="00E97162" w:rsidRDefault="00E97162">
                  <w:r>
                    <w:rPr>
                      <w:rtl/>
                    </w:rPr>
                    <w:t>203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55" o:spid="_x0000_s1026" type="#_x0000_t202" style="position:absolute;left:0;text-align:left;margin-left:139.65pt;margin-top:676.65pt;width:406.1pt;height:65.75pt;z-index:3;mso-position-horizontal-relative:page;mso-position-vertical-relative:page" stroked="f">
            <v:textbox style="mso-next-textbox:#_x0000_s18055" inset="0,0,0,0">
              <w:txbxContent>
                <w:p w:rsidR="00E97162" w:rsidRDefault="00E9716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תשל"ז (16 במרס 1077); הצעת החוק ודברי הסבר פורסמו בה''ח 1289, תשל"ז, עמ' 162.</w:t>
                  </w:r>
                </w:p>
                <w:p w:rsidR="00E97162" w:rsidRPr="00C12A7B" w:rsidRDefault="00E97162">
                  <w:pPr>
                    <w:pStyle w:val="OCRStyle1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234; ס"ח תשל''ו,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56" o:spid="_x0000_s1027" type="#_x0000_t202" style="position:absolute;left:0;text-align:left;margin-left:113.1pt;margin-top:109pt;width:432.65pt;height:567.45pt;z-index:2;mso-position-horizontal-relative:page;mso-position-vertical-relative:page" stroked="f">
            <v:textbox style="mso-next-textbox:#_x0000_s18056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6"/>
                    <w:gridCol w:w="6253"/>
                    <w:gridCol w:w="805"/>
                  </w:tblGrid>
                  <w:tr w:rsidR="00E97162" w:rsidRPr="00C12A7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E97162" w:rsidRDefault="00E971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סרק</w:t>
                        </w:r>
                      </w:p>
                      <w:p w:rsidR="00E97162" w:rsidRPr="00C12A7B" w:rsidRDefault="00E971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שביעי 3</w:t>
                        </w:r>
                      </w:p>
                    </w:tc>
                    <w:tc>
                      <w:tcPr>
                        <w:tcW w:w="4488" w:type="pct"/>
                        <w:gridSpan w:val="2"/>
                      </w:tcPr>
                      <w:p w:rsidR="00E97162" w:rsidRDefault="00E9716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לעידוד השקעות הון, תשי"ט-1959  1(להלן - החוק העיקרי), אחרי פרק שביעי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יבוא:</w:t>
                        </w:r>
                      </w:p>
                      <w:p w:rsidR="00E97162" w:rsidRPr="00C12A7B" w:rsidRDefault="00E9716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שביעי 3: הטבות במס לחברה תעשייתית בהשקעת חוץ</w:t>
                        </w:r>
                      </w:p>
                    </w:tc>
                  </w:tr>
                  <w:tr w:rsidR="00E97162" w:rsidRPr="00C12A7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976" w:type="pct"/>
                      </w:tcPr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53ח. בפרק זה -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"השקעת חוץ" - השקעה במטבע חוץ, של תושב חוץ בחברה, במישרין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המקנה לו חלק בהון המניות כולל הלוואות בעלים, וכן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בכל אחת מהזכויות הבאות: רווחים, כוח הצבעה ומינוי מנהלים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הזכויות); לענין השקעת חוץ -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שבשליטתו של תושב ישראל לא יראוה כתושב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חוץ; אולם שר האוצר רשאי לקבוע שתיראה כתושב חוץ אם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השולט בה הוא חברה שמניותיה נסחרות בבורסה והון המניות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שבידי תושבי חוץ והתחייבויותיה לתושבי חוץ הם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שבעים וחמישה אחוזים לפחות מסך כל הון מניותיה והתחיי-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בויותיה;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"מטבע חוץ" - כמשמעותו בסעיף 56(1) ו-(2), לרבות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ישראלי שתושב חוץ רשאי להמירו כדין למטבע חוץ;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"הלוואת בעלים" - הלוואה הניתנת לחברה מאת בעל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בה, לפרעון במשך תקופה שאינה פחותה משלוש שנים;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בהשקעת חוץ" - חברה שהשקעות החוץ בה מקנות למשקיעיהן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העולה על 25% בכל אחת מהזכויות וכן שיעור העולה על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מהון המניות כולל הלוואות בעלים, ובלבד שהחלק בהון המניות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 עולה אף הוא על 25%;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חברה בהשקעת חוץ, השקעה בעקיפין באמצעות חברה תהיה בגדר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חוץ רק אם נעשתה באמצעות חברה שאף היא חברה בהשקעת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(להלן - החברה המשקיעה), ויחולו לגבי השקעה כאמור הוראות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שיובא בחשבון לענין קביעת שיעור השקעת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בהון המניות כולל הלוואות הבעלים של החברה המש-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קיעה בחברה פלונית יהיה חלק יחסי מסכום ההשקעה של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החכרה המשקיעה, כיחס השקעת החוץ שיש בה בהון המניות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הלוואות הבעלים לכלל הון המניות כאמור בחברה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המשקיעה, אך לא יותר מסכום אשר ביחד עם סך כל השקעות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של החברה המשקיעה יעלה על סכום השקעת החוץ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המשקיעה לפי שער החליפין בעת ההשקעה בחברה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הפלונית, בתוספת חלק מהרווחים הבלתי מחולקים שנצברו</w:t>
                        </w:r>
                      </w:p>
                      <w:p w:rsidR="00E97162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לרבות רווחים שהוונו, כחלקם של משקיעי החוץ בתחילת</w:t>
                        </w:r>
                      </w:p>
                      <w:p w:rsidR="00E97162" w:rsidRPr="00C12A7B" w:rsidRDefault="00E971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בזכות לרווחים בחברה המשקיעה;</w:t>
                        </w:r>
                      </w:p>
                    </w:tc>
                    <w:tc>
                      <w:tcPr>
                        <w:tcW w:w="512" w:type="pct"/>
                      </w:tcPr>
                      <w:p w:rsidR="00E97162" w:rsidRPr="00C12A7B" w:rsidRDefault="00E971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E97162" w:rsidRDefault="00E971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057" o:spid="_x0000_s1028" type="#_x0000_t202" style="position:absolute;left:0;text-align:left;margin-left:206.15pt;margin-top:73.15pt;width:301.15pt;height:28.3pt;z-index:1;mso-position-horizontal-relative:page;mso-position-vertical-relative:page" stroked="f">
            <v:textbox style="mso-next-textbox:#_x0000_s18057" inset="0,0,0,0">
              <w:txbxContent>
                <w:p w:rsidR="00E97162" w:rsidRPr="00C12A7B" w:rsidRDefault="00E97162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15), תשל"ז-1977 *</w:t>
                  </w:r>
                </w:p>
              </w:txbxContent>
            </v:textbox>
            <w10:wrap anchorx="page" anchory="page"/>
          </v:shape>
        </w:pict>
      </w:r>
    </w:p>
    <w:p w:rsidR="004B0749" w:rsidRDefault="004B0749">
      <w:pPr>
        <w:rPr>
          <w:rtl/>
        </w:rPr>
      </w:pPr>
      <w:r>
        <w:rPr>
          <w:rtl/>
        </w:rPr>
        <w:br w:type="page"/>
      </w:r>
    </w:p>
    <w:p w:rsidR="004B0749" w:rsidRDefault="00000000">
      <w:pPr>
        <w:rPr>
          <w:rtl/>
        </w:rPr>
      </w:pPr>
      <w:r>
        <w:pict>
          <v:shape id="_x0000_s18058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058" inset="0,0,0,0">
              <w:txbxContent>
                <w:p w:rsidR="00E97162" w:rsidRDefault="00E97162">
                  <w:r>
                    <w:rPr>
                      <w:rtl/>
                    </w:rPr>
                    <w:t>204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59" o:spid="_x0000_s1030" type="#_x0000_t202" style="position:absolute;left:0;text-align:left;margin-left:90.4pt;margin-top:718.15pt;width:175.05pt;height:26.35pt;z-index:7;mso-position-horizontal-relative:page;mso-position-vertical-relative:page" stroked="f">
            <v:textbox style="mso-next-textbox:#_x0000_s18059" inset="0,0,0,0">
              <w:txbxContent>
                <w:p w:rsidR="00E97162" w:rsidRDefault="00E971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060" o:spid="_x0000_s1031" type="#_x0000_t202" style="position:absolute;left:0;text-align:left;margin-left:352.95pt;margin-top:693.55pt;width:124.95pt;height:30.5pt;z-index:6;mso-position-horizontal-relative:page;mso-position-vertical-relative:page" stroked="f">
            <v:textbox style="mso-next-textbox:#_x0000_s18060" inset="0,0,0,0">
              <w:txbxContent>
                <w:p w:rsidR="00E97162" w:rsidRPr="004B0749" w:rsidRDefault="00E97162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2 ס"ח תשכ"ט,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61" o:spid="_x0000_s1032" type="#_x0000_t202" style="position:absolute;left:0;text-align:left;margin-left:88.85pt;margin-top:78.4pt;width:323.75pt;height:609.25pt;z-index:5;mso-position-horizontal-relative:page;mso-position-vertical-relative:page" stroked="f">
            <v:textbox style="mso-next-textbox:#_x0000_s18061" inset="0,0,0,0">
              <w:txbxContent>
                <w:p w:rsidR="00E97162" w:rsidRDefault="00E97162">
                  <w:pPr>
                    <w:pStyle w:val="OCRStyle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(2) החלק שיובא בחשבון לענין קביעת השיעור של החברה</w:t>
                  </w:r>
                </w:p>
                <w:p w:rsidR="00E97162" w:rsidRDefault="00E97162">
                  <w:pPr>
                    <w:pStyle w:val="OCRStyle2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המשקיעה בזבויות בחברה הפלונית, יהיה חלק מהזכויות שיש</w:t>
                  </w:r>
                </w:p>
                <w:p w:rsidR="00E97162" w:rsidRDefault="00E97162">
                  <w:pPr>
                    <w:pStyle w:val="OCRStyle2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לחברה המשקיעה בחברה הפלונית, כחלקם של משקיעי החוץ</w:t>
                  </w:r>
                </w:p>
                <w:p w:rsidR="00E97162" w:rsidRDefault="00E97162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בזכויות בחברה המשקיעה;</w:t>
                  </w:r>
                </w:p>
                <w:p w:rsidR="00E97162" w:rsidRDefault="00E97162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"חברה תעשייתית בהשקעת חוץ" - חברה בהשקעת חוץ שהיא אחת</w:t>
                  </w:r>
                </w:p>
                <w:p w:rsidR="00E97162" w:rsidRDefault="00E97162">
                  <w:pPr>
                    <w:pStyle w:val="OCRStyle2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מאלה:</w:t>
                  </w:r>
                </w:p>
                <w:p w:rsidR="00E97162" w:rsidRDefault="00E97162">
                  <w:pPr>
                    <w:pStyle w:val="OCRStyle2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(1) חברה תעשייתית כאמור בחוק עידוד התעשיה (מסים),</w:t>
                  </w:r>
                </w:p>
                <w:p w:rsidR="00E97162" w:rsidRDefault="00E97162">
                  <w:pPr>
                    <w:pStyle w:val="OCRStyle2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תשכ"ט-1969  2(להלן - חוק עידוד התעשיה);</w:t>
                  </w:r>
                </w:p>
                <w:p w:rsidR="00E97162" w:rsidRDefault="00E97162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(2) חברת ספנות שחל עליה סעיף 49(1) לחוק האמור;</w:t>
                  </w:r>
                </w:p>
                <w:p w:rsidR="00E97162" w:rsidRDefault="00E97162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(3) חברה תושבת ישראל אשר לפחות 70% מהכנסותיה</w:t>
                  </w:r>
                </w:p>
                <w:p w:rsidR="00E97162" w:rsidRDefault="00E97162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הם מהשכרת ציוד להשכרה כמשמעותו בסעיף 40א;</w:t>
                  </w:r>
                </w:p>
                <w:p w:rsidR="00E97162" w:rsidRDefault="00E97162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"מקדם לתיאום השער", לשנת מס - ההפרש בין שערי החליפין של</w:t>
                  </w:r>
                </w:p>
                <w:p w:rsidR="00E97162" w:rsidRDefault="00E97162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הלירה לדולר של ארצות הברית בתום שנת המס ובתום שנת הבסיס</w:t>
                  </w:r>
                </w:p>
                <w:p w:rsidR="00E97162" w:rsidRDefault="00E97162">
                  <w:pPr>
                    <w:pStyle w:val="OCRStyle2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מחולק בשער החליפין שהיה בתום שנת הבסיסי, ואולם אם נקבעה</w:t>
                  </w:r>
                </w:p>
                <w:p w:rsidR="00E97162" w:rsidRDefault="00E97162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תקופת שומה מיוחדת -</w:t>
                  </w:r>
                </w:p>
                <w:p w:rsidR="00E97162" w:rsidRDefault="00E97162">
                  <w:pPr>
                    <w:pStyle w:val="OCRStyle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(1) אם היא מסתיימת לפני 31 בדצמבר' - יהא המקדם</w:t>
                  </w:r>
                </w:p>
                <w:p w:rsidR="00E97162" w:rsidRDefault="00E97162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לתיאום השער, המקדם לשנת המס שקדמה לשנת המס שאליה</w:t>
                  </w:r>
                </w:p>
                <w:p w:rsidR="00E97162" w:rsidRDefault="00E97162">
                  <w:pPr>
                    <w:pStyle w:val="OCRStyle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מתייחסת התקופה המיוחדת;</w:t>
                  </w:r>
                </w:p>
                <w:p w:rsidR="00E97162" w:rsidRDefault="00E97162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(2) אם היא מסתיימת אחרי 30 בדצמבר ולפני 31 במרס -</w:t>
                  </w:r>
                </w:p>
                <w:p w:rsidR="00E97162" w:rsidRDefault="00E97162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יהא המקדם לתיאום השער, המקדם לשנת המס שאליה מת-</w:t>
                  </w:r>
                </w:p>
                <w:p w:rsidR="00E97162" w:rsidRDefault="00E97162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ייחסת תקופת השומה המיוחדת;</w:t>
                  </w:r>
                </w:p>
                <w:p w:rsidR="00E97162" w:rsidRDefault="00E97162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"שנת הבסיס" -</w:t>
                  </w:r>
                </w:p>
                <w:p w:rsidR="00E97162" w:rsidRDefault="00E97162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(1) לגבי פחת - שנת המס שבה הופעל הנכס, ואם חלפה</w:t>
                  </w:r>
                </w:p>
                <w:p w:rsidR="00E97162" w:rsidRDefault="00E97162">
                  <w:pPr>
                    <w:pStyle w:val="OCRStyle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יותר משנה מיום התשלום הראשון כעד הנכס ועד להפעלתו -</w:t>
                  </w:r>
                </w:p>
                <w:p w:rsidR="00E97162" w:rsidRDefault="00E97162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שנת המס שקדמה לשנת המס שבה הופעל הנכס; לענין זה,</w:t>
                  </w:r>
                </w:p>
                <w:p w:rsidR="00E97162" w:rsidRDefault="00E97162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נכסים שונים שהופעלו כמערכת אחת בפרק זמן אחד, ייראו</w:t>
                  </w:r>
                </w:p>
                <w:p w:rsidR="00E97162" w:rsidRDefault="00E97162">
                  <w:pPr>
                    <w:pStyle w:val="OCRStyle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כנכס אחד שהופעל בעת הפעלת המערכת;</w:t>
                  </w:r>
                </w:p>
                <w:p w:rsidR="00E97162" w:rsidRDefault="00E97162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(2) לגבי הלוואה לזמן ארוך - שנת המט שבה נתקבלה</w:t>
                  </w:r>
                </w:p>
                <w:p w:rsidR="00E97162" w:rsidRDefault="00E97162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ההלוואה;</w:t>
                  </w:r>
                </w:p>
                <w:p w:rsidR="00E97162" w:rsidRDefault="00E97162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(3) לגבי נכסים שוטפים, התחייבויות שוטפות ורווחים -</w:t>
                  </w:r>
                </w:p>
                <w:p w:rsidR="00E97162" w:rsidRDefault="00E97162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השנה שקדמה לשנת המס;</w:t>
                  </w:r>
                </w:p>
                <w:p w:rsidR="00E97162" w:rsidRDefault="00E97162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"הלוואה לזמן ארוך" - הלוואה - למעט הלוואת בעלים - שנתקבלה</w:t>
                  </w:r>
                </w:p>
                <w:p w:rsidR="00E97162" w:rsidRDefault="00E97162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לפרעון במשך תקופה שאינה פחותה מארבע שנים מיום קבלתה;</w:t>
                  </w:r>
                </w:p>
                <w:p w:rsidR="00E97162" w:rsidRDefault="00E97162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"נכסים שוטפים" ו"התחייבויות שוטפות" - כפי שנקבע בתקנות;</w:t>
                  </w:r>
                </w:p>
                <w:p w:rsidR="00E97162" w:rsidRDefault="00E97162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"סכום לתיאום הפחת או ההפחתה" - סכום הפחת או ההפחתה המותרים</w:t>
                  </w:r>
                </w:p>
                <w:p w:rsidR="00E97162" w:rsidRDefault="00E97162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בניכוי בשנת המס, כפול במקדם לתיאום השער;</w:t>
                  </w:r>
                </w:p>
                <w:p w:rsidR="00E97162" w:rsidRDefault="00E97162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"סכום לתיאום שיעורי הפרעון של הלוואה לזמן ארוך" - שיעורי</w:t>
                  </w:r>
                </w:p>
                <w:p w:rsidR="00E97162" w:rsidRDefault="00E97162">
                  <w:pPr>
                    <w:pStyle w:val="OCRStyle2"/>
                    <w:ind w:left="608"/>
                  </w:pPr>
                  <w:r>
                    <w:rPr>
                      <w:rtl/>
                    </w:rPr>
                    <w:t>הפרעון של ההלוואה בשנת המס, כפול במקדם לתיאום השער;</w:t>
                  </w:r>
                </w:p>
              </w:txbxContent>
            </v:textbox>
            <w10:wrap anchorx="page" anchory="page"/>
          </v:shape>
        </w:pict>
      </w:r>
    </w:p>
    <w:p w:rsidR="000E740A" w:rsidRDefault="000E740A">
      <w:pPr>
        <w:rPr>
          <w:rtl/>
        </w:rPr>
      </w:pPr>
      <w:r>
        <w:rPr>
          <w:rtl/>
        </w:rPr>
        <w:br w:type="page"/>
      </w:r>
    </w:p>
    <w:p w:rsidR="000E740A" w:rsidRDefault="00000000">
      <w:pPr>
        <w:rPr>
          <w:rtl/>
        </w:rPr>
      </w:pPr>
      <w:r>
        <w:pict>
          <v:shape id="_x0000_s1806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062" inset="0,0,0,0">
              <w:txbxContent>
                <w:p w:rsidR="00E97162" w:rsidRDefault="00E97162">
                  <w:r>
                    <w:rPr>
                      <w:rtl/>
                    </w:rPr>
                    <w:t>205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63" o:spid="_x0000_s1034" type="#_x0000_t202" style="position:absolute;left:0;text-align:left;margin-left:369.9pt;margin-top:682.15pt;width:178.6pt;height:64.55pt;z-index:10;mso-position-horizontal-relative:page;mso-position-vertical-relative:page" stroked="f">
            <v:textbox style="mso-next-textbox:#_x0000_s18063" inset="0,0,0,0">
              <w:txbxContent>
                <w:p w:rsidR="00E97162" w:rsidRPr="000E740A" w:rsidRDefault="00E97162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3 דיני מדינת ישראל, נוסח חדש 6, עמי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64" o:spid="_x0000_s1035" type="#_x0000_t202" style="position:absolute;left:0;text-align:left;margin-left:146.35pt;margin-top:63.55pt;width:396pt;height:617.75pt;z-index:9;mso-position-horizontal-relative:page;mso-position-vertical-relative:page" stroked="f">
            <v:textbox style="mso-next-textbox:#_x0000_s18064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5"/>
                    <w:gridCol w:w="1156"/>
                  </w:tblGrid>
                  <w:tr w:rsidR="00E97162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"סכום לתיאום הנכסים השוטפים" - סכום הנכסים השוטפים בתום השנה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לשנת המס, כפול במקדם לתיאום השער;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"סכום לתיאום ההתחייבויות השוטפות" - סכום ההתחייבויות השוטפות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השנה שקדמה לשנת המס, כפול במקדם לתיאום השער;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לתיאום רווחים" - רווחים כפול במקדם לתיאום השער לשנה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לשנת המס; לענין זה, "רווחים" - סך כל העודפים הכלולים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בהון העצמי, לפי המאזן של החברה לסוף השנה שקדמה לשנת המס,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שמקורם ברווחים הראויים לחלוקה;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- כמשמעותם בפקודת מס הכנסה3 (בפרק זה - הפקודה).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7162" w:rsidRPr="000E740A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53ט. (א) חברה, כל זמן שהיא חברה תעשייתית בהשקעת חוץ, תהא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זכאית, לפי בקשתה, להטבות על פי פרק זה, במשך 10 שנים מהשנה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לקבלת ההטבות, ובלבד שביקשה את ההטבות לפני שנת המס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1981, ובשנה שביקשה את ההטבות היה לה מפעל תעשייתי שהוא מפעל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שטרם חלפו 12 או 10 שנים, כאמור בסעיף 45, לגבי המפעל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ההרחבה האחרונה שלו (לחברה כאמור ייקרא להלן - חברה זכאית).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יינתנו הטבות בשנת מס פלונית, אלא אם הומצאו דו"חות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ואישורים כפי שנקבע בתקנות.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97162" w:rsidRPr="000E740A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 להטבות</w:t>
                        </w:r>
                      </w:p>
                    </w:tc>
                  </w:tr>
                  <w:tr w:rsidR="00E97162" w:rsidRPr="000E740A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53י. (א) לשם בירור הכנסתה החייבת של חברה זכאית יותר לה ניכוי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ההפרשה לייצוב ההון; ההפרשה לייצוב ההון היא הסכומים הדרושים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לתיאום הפחת או ההפחתות בשנת מס פלונית וסכומים הדרושים לתיאום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הנכסים השוטפים, פחות הסכומים הדרושים לתיאום שיעורי הפרעון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ההלוואות לזמן ארוך שיש לפרעם בשנת המס, הסכומים הדרושים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לתיאום ההתחייבויות השוטפות והפרשי השער ששולמו לבעלי המניות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החוץ, המותרים לניכוי על פי סעיף 17(1) לפקודה או על פי סעיף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לחוק עידוד התעשיה.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ההפרשה לייצוב ההון שלילית, יראוה כהכנסה באותה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בסכום שלא יעלה על ההפרשה לייצוב ההון שהותרה לחברה לניכוי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שנות המס שקדמו לה; עלה סכום ההפרשה השלילית על סכום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ההפרשה שהותר לה לניכוי כאמור, יועבר העודף לשתי השנים הכאות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בזו אחר זו ויופחת מסכום ההפרשה לייצוב ההון שבהן; לענין זה, הפרשה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שלילית כאשר סך כל הסכומים לתיאום שיעורי הפרעון של ההל-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וואות לזמן ארוך, ההתחייבויות השוטפות והפרשי השער כאמור בסעיף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עולה על סך כל הסכומים לתיאום הפחת, ההפחתות והנכסים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השוטפים.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חברה שהיתה חברה זכאית בחלק בלבד של שנת המס או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השומה המיוחדת, תהא זכאית באותה שנה להפריש לייצוב ההון</w:t>
                        </w:r>
                      </w:p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מלוא הסכומים הדרושים לתיאום הפחת או ההפחתות המותרים לה</w:t>
                        </w:r>
                      </w:p>
                      <w:p w:rsidR="00E97162" w:rsidRPr="000E740A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שנה, בניכוי מלוא הסכומים הדרושים לתיאום שיעורי1 הפרעון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97162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הפרשה לייצוב</w:t>
                        </w:r>
                      </w:p>
                      <w:p w:rsidR="00E97162" w:rsidRPr="000E740A" w:rsidRDefault="00E971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</w:t>
                        </w:r>
                      </w:p>
                    </w:tc>
                  </w:tr>
                </w:tbl>
                <w:p w:rsidR="00E97162" w:rsidRDefault="00E9716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A1E39" w:rsidRDefault="00FA1E39">
      <w:pPr>
        <w:rPr>
          <w:rtl/>
        </w:rPr>
      </w:pPr>
      <w:r>
        <w:rPr>
          <w:rtl/>
        </w:rPr>
        <w:br w:type="page"/>
      </w:r>
    </w:p>
    <w:p w:rsidR="00FA1E39" w:rsidRDefault="00000000">
      <w:pPr>
        <w:rPr>
          <w:rtl/>
        </w:rPr>
      </w:pPr>
      <w:r>
        <w:pict>
          <v:shape id="_x0000_s1806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8065" inset="0,0,0,0">
              <w:txbxContent>
                <w:p w:rsidR="00E97162" w:rsidRDefault="00E97162">
                  <w:r>
                    <w:rPr>
                      <w:rtl/>
                    </w:rPr>
                    <w:t>206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66" o:spid="_x0000_s1037" type="#_x0000_t202" style="position:absolute;left:0;text-align:left;margin-left:100.4pt;margin-top:674.5pt;width:375.8pt;height:72.65pt;z-index:13;mso-position-horizontal-relative:page;mso-position-vertical-relative:page" stroked="f">
            <v:textbox style="mso-next-textbox:#_x0000_s18066" inset="0,0,0,0">
              <w:txbxContent>
                <w:p w:rsidR="00E97162" w:rsidRDefault="00E97162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4 ס"ח תש"ח, עמ' 168.</w:t>
                  </w:r>
                </w:p>
                <w:p w:rsidR="00E97162" w:rsidRPr="00FA1E39" w:rsidRDefault="00E97162">
                  <w:pPr>
                    <w:pStyle w:val="OCRStyle4"/>
                    <w:ind w:left="169"/>
                  </w:pPr>
                  <w:r>
                    <w:rPr>
                      <w:rtl/>
                    </w:rPr>
                    <w:t>5 ס"ח תשכ"ד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67" o:spid="_x0000_s1038" type="#_x0000_t202" style="position:absolute;left:0;text-align:left;margin-left:90.35pt;margin-top:74.55pt;width:394.2pt;height:598.95pt;z-index:12;mso-position-horizontal-relative:page;mso-position-vertical-relative:page" stroked="f">
            <v:textbox style="mso-next-textbox:#_x0000_s18067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4"/>
                    <w:gridCol w:w="1303"/>
                  </w:tblGrid>
                  <w:tr w:rsidR="00E97162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ההלוואות לזמן ארוך שיש לפרעם כאותה שנה, אך תהא זכאית להפ-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 רק חלק יחסי מהסכומים הדרושים לתיאום עלות הנכסים השוטפים,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הסכומים הדרושים לתיאום ההתחייבויות השוטפות, שהוא כיחס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החדשים השלמים שבהם היתה זכאית ל-12, הכל בניכוי חלק יחסי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של הפרש- השער המותרים לניכוי כאמור בסעיף קטן (א).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97162" w:rsidRPr="00FA1E39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53יא. (א) ההפרשות לייצוב ההון בשנת מס פלונית בתוספת סך כל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ההפרשות כאמור שהצטברו עד שנת המס שקדמה לה, בניכוי סך כל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ההפרשות השליליות באותן שנים, הסכומים שחולקו כמניות הטבה בשנים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והסכומים הדרושים לתיאום הרווחים באותן שנים, יהוו את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לייצוב ההון לתום אותה שנה.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החברה תתן גילוי נאות, בדו"חותיה הכספיים, לסכום שהיה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בקרן לייצוב ההון לסוף שנת המס הקודמת, ותפרט את השינויים שחלו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בתוך שנת המס.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97162" w:rsidRPr="00FA1E39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לייצוב ההון</w:t>
                        </w:r>
                      </w:p>
                    </w:tc>
                  </w:tr>
                  <w:tr w:rsidR="00E97162" w:rsidRPr="00FA1E39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53יב. חברה שחילקה בשנת מס פלונית רווחים מתוך הקרן לייצוב ההון,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חייבת באותה שנה כתשלום המס שנפטרה מתשלומו כתוצאה מניכוי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ההפרשה כאמור בסעיף 53י(א), בצירוף ריבית פיגורים לתקופה שמתום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שבה נעשתה ההפרשה שממנה חולקו הרווחים ועד יום התשלום.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רווחים</w:t>
                        </w:r>
                      </w:p>
                      <w:p w:rsidR="00E97162" w:rsidRPr="00FA1E39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מקרן ייצוב ההון</w:t>
                        </w:r>
                      </w:p>
                    </w:tc>
                  </w:tr>
                  <w:tr w:rsidR="00E97162" w:rsidRPr="00FA1E39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53יג. דין מחצית הסכום לתיאום הפחת כדין ניכוי נוסף לענין האמור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 לחוק עידוד התעשיה ולענין הגדרת "פחת מתואם" שבסעיף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 לפקודה.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תיאום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הסחת לענין</w:t>
                        </w:r>
                      </w:p>
                      <w:p w:rsidR="00E97162" w:rsidRPr="00FA1E39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חילוף וריווח הון</w:t>
                        </w:r>
                      </w:p>
                    </w:tc>
                  </w:tr>
                  <w:tr w:rsidR="00E97162" w:rsidRPr="00FA1E39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53יד. נמכרה מניה של תושב חוץ בחברה תעשייתית בהשקעת חוץ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חוץ אחר, יהיה העודף האינפלציוני פטור ממס אם בחישוב העודף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האינפלציוני ראו כמדד את שער המטבע שבו נרכש הנכס ; הוראה זו לא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לגבי סכומים שרואים אותם כעודף אינפלציוני לפי סעיף 94ב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לעודף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</w:t>
                        </w:r>
                      </w:p>
                      <w:p w:rsidR="00E97162" w:rsidRPr="00FA1E39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מניות</w:t>
                        </w:r>
                      </w:p>
                    </w:tc>
                  </w:tr>
                  <w:tr w:rsidR="00E97162" w:rsidRPr="00FA1E39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53טו. (א) חברה המקבלת הטבות על פי פרק זה לא תקבל תוספת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על פי חוק מס הכנסה (תוספת פחת על נכסים עסקיים), תשי"ח-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4, או על פי חוק מס הכנסה (תוספת פחת על נכסים עסקיים),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תשכ"ד-1964 5,  ולא פחת וניכוי נוסף על פי חוק עידוד התעשיה.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חברה שנעשתה חברה זכאית בשנת מס פלונית ואשר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שנות המס שקדמו לה, או באחת מהן, תבעה פחת על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 עידוד התעשיה, יבוטל הפחת האמור, והיא תהא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לנכות באותן שנים את הסכומים הדרושים לתיאום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על אותו ציוד שלגביו בוטל הפחת האמור בניכוי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לתיאום שיעורי ההלוואות לזמן ארוך שמועד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פרעונם חל באותן שנים.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שפסקה זכאותה בשנת מס פלונית, תהא זכאית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מהכנסתה בשתי שנות המס שלאחר אותה שנה את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זכות פחת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חוקים אחרים</w:t>
                        </w:r>
                      </w:p>
                      <w:p w:rsidR="00E97162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והפרשות לפני</w:t>
                        </w:r>
                      </w:p>
                      <w:p w:rsidR="00E97162" w:rsidRPr="00FA1E39" w:rsidRDefault="00E971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 ולאחריה</w:t>
                        </w:r>
                      </w:p>
                    </w:tc>
                  </w:tr>
                </w:tbl>
                <w:p w:rsidR="00E97162" w:rsidRDefault="00E9716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D02B9" w:rsidRDefault="00CD02B9">
      <w:pPr>
        <w:rPr>
          <w:rtl/>
        </w:rPr>
      </w:pPr>
      <w:r>
        <w:rPr>
          <w:rtl/>
        </w:rPr>
        <w:br w:type="page"/>
      </w:r>
    </w:p>
    <w:p w:rsidR="00CD02B9" w:rsidRDefault="00000000">
      <w:pPr>
        <w:rPr>
          <w:rtl/>
        </w:rPr>
      </w:pPr>
      <w:r>
        <w:pict>
          <v:shape id="_x0000_s18068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8068" inset="0,0,0,0">
              <w:txbxContent>
                <w:p w:rsidR="00E97162" w:rsidRDefault="00E97162">
                  <w:r>
                    <w:rPr>
                      <w:rtl/>
                    </w:rPr>
                    <w:t>207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69" o:spid="_x0000_s1040" type="#_x0000_t202" style="position:absolute;left:0;text-align:left;margin-left:396.2pt;margin-top:690.55pt;width:137.8pt;height:57.4pt;z-index:17;mso-position-horizontal-relative:page;mso-position-vertical-relative:page" stroked="f">
            <v:textbox style="mso-next-textbox:#_x0000_s18069" inset="0,0,0,0">
              <w:txbxContent>
                <w:p w:rsidR="00E97162" w:rsidRPr="00CD02B9" w:rsidRDefault="00E97162">
                  <w:pPr>
                    <w:pStyle w:val="OCRStyle5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ס''ח תשל"ו,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70" o:spid="_x0000_s1041" type="#_x0000_t202" style="position:absolute;left:0;text-align:left;margin-left:90.7pt;margin-top:396.1pt;width:450.25pt;height:282.55pt;z-index:16;mso-position-horizontal-relative:page;mso-position-vertical-relative:page" stroked="f">
            <v:textbox style="mso-next-textbox:#_x0000_s1807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5"/>
                    <w:gridCol w:w="7082"/>
                  </w:tblGrid>
                  <w:tr w:rsidR="00E9716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E97162" w:rsidRPr="00CD02B9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74(ב) (1) לחוק העיקרי, אחרי הגדרת "פחת מואץ" יבוא: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 חייבת" - לפני ניכוי הפחת והפחת המואץ;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 קבועים" - לרבות נכסים המשמשים את המפעל אף אם אינם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המפעל."</w:t>
                        </w:r>
                      </w:p>
                    </w:tc>
                  </w:tr>
                  <w:tr w:rsidR="00E97162" w:rsidRPr="00CD02B9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E97162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לעידוד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 הון</w:t>
                        </w:r>
                      </w:p>
                      <w:p w:rsidR="00E97162" w:rsidRPr="00CD02B9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14)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E97162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39 לחוק לעידוד השקעות הון (תיקון מס' 14), תשל"ו-1976 6-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הכותרת תהיה "תחילה ותחולה";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"וסעיף 13 יחול לגבי מי שהגיש בקשה לאישור תכנית ביום</w:t>
                        </w:r>
                      </w:p>
                      <w:p w:rsidR="00E97162" w:rsidRPr="00CD02B9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בניסן תשל"ו (1 באפריל 1976) או לאחריו".</w:t>
                        </w:r>
                      </w:p>
                    </w:tc>
                  </w:tr>
                  <w:tr w:rsidR="00E97162" w:rsidRPr="00CD02B9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E97162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E97162" w:rsidRPr="00CD02B9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מם הכנסה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E97162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בפקודת מס הכנסה -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17(1), במקום הסיפה המתחילה במלים "למעט הפרשי שער"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"ובלבד שלא יותרו לניכוי הפרשי שער ששילמה חברה לתושב חוץ שהוא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שליטה בה כמשמעותו בסעיף 32(9), על ההלוואה שלא ניתן עליה אישור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המפקח על מטבע חוץ; הפרשי שער לתושב חוץ המותרים בניכוי, לגבי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שהכנסתו איננה נקבעת על בסיס מזומנים, שהצטברו על ההלוואה כולה או</w:t>
                        </w:r>
                      </w:p>
                      <w:p w:rsidR="00E97162" w:rsidRPr="00CD02B9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 עד מועד הפרעון - ינוכו בשנת המס שבה חל מועד הפרעון של הסכום</w:t>
                        </w:r>
                      </w:p>
                    </w:tc>
                  </w:tr>
                </w:tbl>
                <w:p w:rsidR="00E97162" w:rsidRDefault="00E971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071" o:spid="_x0000_s1042" type="#_x0000_t202" style="position:absolute;left:0;text-align:left;margin-left:138pt;margin-top:60.9pt;width:399.35pt;height:330.05pt;z-index:15;mso-position-horizontal-relative:page;mso-position-vertical-relative:page" stroked="f">
            <v:textbox style="mso-next-textbox:#_x0000_s18071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6"/>
                    <w:gridCol w:w="1295"/>
                  </w:tblGrid>
                  <w:tr w:rsidR="00E97162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הדרושים לתיאום הפחת או ההפחתות המותרים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באותן שנים, כניכוי הסכומים הדרושים לתיאום שיעורי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ההלוואות לזמן ארוך שמועד פרעונם חל באותן שנים, ותהא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לפחת על פי חוק עידוד התעשיה רק לגבי יתרת הנכסים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לה לאחר תום שתי השנים כאמור.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הסכומים הדרושים לתיאום שיעורי ההלוואות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העולים על הסכומים הדרושים לתיאום הפחת או ההפחתות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הפרשה שלילית כמשמעותה בסעיף 53י(ב).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97162" w:rsidRPr="00CD02B9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53טז. פסקה זכאותה של- חברה במשך שנת מס שלמה, והגורם להפסקת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סולק תוך שתי שנות מס שלאחר השנה שבה פסקה הזכאות,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והודעה על כך נמסרה לפקיד השומה עם הגשת הדו"ח לאחת משתי שנות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האמורות, יחולו הוראות אלה: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הגורם להפסקת זכאותה של החברה בקשתה להם-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סקתה או אי הגשת הדו"חות והאישורים שעליה להגיש על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53ט (ב), היא תחזור להיות חברה זכאית, תוך תקופת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ההטבות, מיום הפסקת זכאותה, ובלבד שהשומות שנעשו לה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53טו יתוקנו לפי זה;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הגורם להפסקת זכאותה של החברה אי מילוי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שבהגדרת "חברה בהשקעת חוץ", לא תוכל החברה</w:t>
                        </w:r>
                      </w:p>
                      <w:p w:rsidR="00E97162" w:rsidRDefault="00E971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לשוב ולהיות חברה זכאית אלא מיום סילוק הגורם."</w:t>
                        </w:r>
                      </w:p>
                    </w:tc>
                    <w:tc>
                      <w:tcPr>
                        <w:tcW w:w="892" w:type="pct"/>
                      </w:tcPr>
                      <w:p w:rsidR="00E97162" w:rsidRPr="00CD02B9" w:rsidRDefault="00E971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חידוש זכאות</w:t>
                        </w:r>
                      </w:p>
                    </w:tc>
                  </w:tr>
                </w:tbl>
                <w:p w:rsidR="00E97162" w:rsidRDefault="00E971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97162" w:rsidRDefault="00E97162">
      <w:pPr>
        <w:rPr>
          <w:rtl/>
        </w:rPr>
      </w:pPr>
      <w:r>
        <w:rPr>
          <w:rtl/>
        </w:rPr>
        <w:br w:type="page"/>
      </w:r>
    </w:p>
    <w:p w:rsidR="00E97162" w:rsidRDefault="00000000">
      <w:pPr>
        <w:rPr>
          <w:rtl/>
        </w:rPr>
      </w:pPr>
      <w:r>
        <w:pict>
          <v:shape id="_x0000_s18072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8072" inset="0,0,0,0">
              <w:txbxContent>
                <w:p w:rsidR="00E97162" w:rsidRDefault="00E97162">
                  <w:r>
                    <w:rPr>
                      <w:rtl/>
                    </w:rPr>
                    <w:t>208                                          ספר החוקים 860                  י"ב בניסן התשל"ז 31.03.1977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73" o:spid="_x0000_s1044" type="#_x0000_t202" style="position:absolute;left:0;text-align:left;margin-left:97.15pt;margin-top:690.3pt;width:163.35pt;height:48.5pt;z-index:23;mso-position-horizontal-relative:page;mso-position-vertical-relative:page" stroked="f">
            <v:textbox style="mso-next-textbox:#_x0000_s18073" inset="0,0,0,0">
              <w:txbxContent>
                <w:p w:rsidR="00E97162" w:rsidRDefault="00E9716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074" o:spid="_x0000_s1045" type="#_x0000_t202" style="position:absolute;left:0;text-align:left;margin-left:104.05pt;margin-top:488.35pt;width:125.75pt;height:55.45pt;z-index:22;mso-position-horizontal-relative:page;mso-position-vertical-relative:page" stroked="f">
            <v:textbox style="mso-next-textbox:#_x0000_s18074" inset="0,0,0,0">
              <w:txbxContent>
                <w:p w:rsidR="00E97162" w:rsidRDefault="00E97162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97162" w:rsidRDefault="00E97162">
                  <w:pPr>
                    <w:pStyle w:val="OCRStyle6"/>
                    <w:ind w:left="69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75" o:spid="_x0000_s1046" type="#_x0000_t202" style="position:absolute;left:0;text-align:left;margin-left:245.65pt;margin-top:490.3pt;width:92.05pt;height:54.45pt;z-index:21;mso-position-horizontal-relative:page;mso-position-vertical-relative:page" stroked="f">
            <v:textbox style="mso-next-textbox:#_x0000_s18075" inset="0,0,0,0">
              <w:txbxContent>
                <w:p w:rsidR="00E97162" w:rsidRDefault="00E97162">
                  <w:pPr>
                    <w:pStyle w:val="OCRStyle6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97162" w:rsidRDefault="00E97162">
                  <w:pPr>
                    <w:pStyle w:val="OCRStyle6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76" o:spid="_x0000_s1047" type="#_x0000_t202" style="position:absolute;left:0;text-align:left;margin-left:387.2pt;margin-top:515.05pt;width:108.9pt;height:50.5pt;z-index:20;mso-position-horizontal-relative:page;mso-position-vertical-relative:page" stroked="f">
            <v:textbox style="mso-next-textbox:#_x0000_s18076" inset="0,0,0,0">
              <w:txbxContent>
                <w:p w:rsidR="00E97162" w:rsidRDefault="00E97162">
                  <w:pPr>
                    <w:pStyle w:val="OCRStyle6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97162" w:rsidRDefault="00E97162">
                  <w:pPr>
                    <w:pStyle w:val="OCRStyle6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77" o:spid="_x0000_s1048" type="#_x0000_t202" style="position:absolute;left:0;text-align:left;margin-left:99.1pt;margin-top:70.55pt;width:455.4pt;height:392.05pt;z-index:19;mso-position-horizontal-relative:page;mso-position-vertical-relative:page" stroked="f">
            <v:textbox style="mso-next-textbox:#_x0000_s180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972"/>
                  </w:tblGrid>
                  <w:tr w:rsidR="00E97162" w:rsidRPr="00E97162">
                    <w:trPr>
                      <w:jc w:val="right"/>
                    </w:trPr>
                    <w:tc>
                      <w:tcPr>
                        <w:tcW w:w="4413" w:type="pct"/>
                      </w:tcPr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שהפרשי השער מתייחסים אליו, וההפרשים שהצטברו אחרי מועד הפרעון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ינוכו לפי הצטברותם";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28, סעיף קטן (ט) יסומן (י) ולפניו יבוא: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(1) היה לאדם הפסד בשנת מס שבה הותר לו ניכוי הפרשי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שהצטברו בשנים קודמות, יותר לו לנכות סכום הפסד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הפרשי השער שנוכו, כהוצאה מהכנסתו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שקדמה להן לא ניתן לנכות את הסכום האמור,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בשנה האמורה, ינוכה בשנים שקדמו לה,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בזו אחר זו, בשנים שבהן הצטברו הפרשי השער, ובלבד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ניתן לנכות את סכום ההפסד שהיה לאדם באחת השנים,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לא יותר לנכותו בשנה שקדמה לה; לא ניתן לנכות את ההפסד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בשנות המס הקודמות, יקוזז סכום ההפסד שלא נוכה מההכנסה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בשנים הבאות בזו אחר זו.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השומות לשנים שלגביהן הותר ניכוי הפסד כאמור,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ייראו כמתוקנות בהתאם לכך,"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תחולתם של סעיפים 1 ו-4 משנת המס 1975, ובלבד שהפרשים הנובעים מתחו-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 זו יצורפו להכנסה של שנת המס .1976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אף האמור בסעיף קטן (א), הפרשי שער שהצטברו בשנת המס 1975 ונתבעו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כהוצאה בשנה האמורה אך מועד פרעונם טרם הגיע באותה שנה, יותרו בניכוי בשנת המס</w:t>
                        </w: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ולא במועד הפרעון.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  <w:p w:rsid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E97162" w:rsidRP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  <w:tr w:rsidR="00E97162" w:rsidRPr="00E97162">
                    <w:trPr>
                      <w:jc w:val="right"/>
                    </w:trPr>
                    <w:tc>
                      <w:tcPr>
                        <w:tcW w:w="4413" w:type="pct"/>
                      </w:tcPr>
                      <w:p w:rsidR="00E97162" w:rsidRP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תחילתם של סעיפים 2 ו-3 ביום א' בניסן תשל"ו (1 באפריל 1976).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E97162" w:rsidRP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E97162" w:rsidRPr="00E97162">
                    <w:trPr>
                      <w:jc w:val="right"/>
                    </w:trPr>
                    <w:tc>
                      <w:tcPr>
                        <w:tcW w:w="4413" w:type="pct"/>
                      </w:tcPr>
                      <w:p w:rsidR="00E97162" w:rsidRP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חוק זה יפורסם ברשומות תוך 15 יום מיום קבלתו בכנסת.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E97162" w:rsidRPr="00E97162" w:rsidRDefault="00E9716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E97162" w:rsidRDefault="00E9716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2A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37E15C-AEE2-4481-B23A-5876B737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2A7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B074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E740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A1E3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D02B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971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2008-04-06T23:08:00Z</dcterms:created>
  <dcterms:modified xsi:type="dcterms:W3CDTF">2008-04-06T23:09:00Z</dcterms:modified>
</cp:coreProperties>
</file>