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3B7A" w:rsidRDefault="00F03B7A">
      <w:pPr>
        <w:rPr>
          <w:rtl/>
        </w:rPr>
      </w:pPr>
    </w:p>
    <w:p w:rsidR="00F03B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194" inset="0,0,0,0">
              <w:txbxContent>
                <w:p w:rsidR="00F03B7A" w:rsidRDefault="00F03B7A">
                  <w:r>
                    <w:rPr>
                      <w:rtl/>
                    </w:rPr>
                    <w:t>152                                          ספר החוקים 606                    ב' באלול התש"ל 03.09.1970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5" o:spid="_x0000_s1026" type="#_x0000_t202" style="position:absolute;left:0;text-align:left;margin-left:85.55pt;margin-top:336.25pt;width:398.55pt;height:42.95pt;z-index:7;mso-wrap-style:none;mso-position-horizontal-relative:page;mso-position-vertical-relative:page" stroked="f">
            <v:textbox style="mso-next-textbox:#_x0000_s18195" inset="0,0,0,0">
              <w:txbxContent>
                <w:p w:rsidR="00F03B7A" w:rsidRDefault="00F03B7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תש''ל (1 בספטמבר 1970); הצעת החוק ודברי הסבר פורסמו בה"ח 898, תשיל/ עמי</w:t>
                  </w:r>
                </w:p>
                <w:p w:rsidR="00F03B7A" w:rsidRDefault="00F03B7A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268.</w:t>
                  </w:r>
                </w:p>
                <w:p w:rsidR="00F03B7A" w:rsidRPr="00F03B7A" w:rsidRDefault="00F03B7A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תשי"ט, עמ' 234; ס"ח תשכ"ט, עמ' .242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6" o:spid="_x0000_s1027" type="#_x0000_t202" style="position:absolute;left:0;text-align:left;margin-left:343.75pt;margin-top:288.95pt;width:138.6pt;height:38.6pt;z-index:6;mso-wrap-style:none;mso-position-horizontal-relative:page;mso-position-vertical-relative:page" stroked="f">
            <v:textbox style="mso-next-textbox:#_x0000_s18196" inset="0,0,0,0">
              <w:txbxContent>
                <w:p w:rsidR="00F03B7A" w:rsidRDefault="00F03B7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03B7A" w:rsidRDefault="00F03B7A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7" o:spid="_x0000_s1028" type="#_x0000_t202" style="position:absolute;left:0;text-align:left;margin-left:93.3pt;margin-top:229.55pt;width:128.3pt;height:45.55pt;z-index:5;mso-wrap-style:none;mso-position-horizontal-relative:page;mso-position-vertical-relative:page" stroked="f">
            <v:textbox style="mso-next-textbox:#_x0000_s18197" inset="0,0,0,0">
              <w:txbxContent>
                <w:p w:rsidR="00F03B7A" w:rsidRDefault="00F03B7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03B7A" w:rsidRDefault="00F03B7A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F03B7A" w:rsidRDefault="00F03B7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8" o:spid="_x0000_s1029" type="#_x0000_t202" style="position:absolute;left:0;text-align:left;margin-left:231.9pt;margin-top:226pt;width:151.45pt;height:55.25pt;z-index:4;mso-wrap-style:none;mso-position-horizontal-relative:page;mso-position-vertical-relative:page" stroked="f">
            <v:textbox style="mso-next-textbox:#_x0000_s18198" inset="0,0,0,0">
              <w:txbxContent>
                <w:p w:rsidR="00F03B7A" w:rsidRDefault="00F03B7A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03B7A" w:rsidRDefault="00F03B7A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F03B7A" w:rsidRDefault="00F03B7A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ממלא מקום 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99" o:spid="_x0000_s1030" type="#_x0000_t202" style="position:absolute;left:0;text-align:left;margin-left:391.9pt;margin-top:225.2pt;width:107.7pt;height:41.4pt;z-index:3;mso-wrap-style:none;mso-position-horizontal-relative:page;mso-position-vertical-relative:page" stroked="f">
            <v:textbox style="mso-next-textbox:#_x0000_s18199" inset="0,0,0,0">
              <w:txbxContent>
                <w:p w:rsidR="00F03B7A" w:rsidRDefault="00F03B7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03B7A" w:rsidRDefault="00F03B7A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00" o:spid="_x0000_s1031" type="#_x0000_t202" style="position:absolute;left:0;text-align:left;margin-left:84.6pt;margin-top:112.35pt;width:474.4pt;height:95.65pt;z-index:2;mso-wrap-style:none;mso-position-horizontal-relative:page;mso-position-vertical-relative:page" stroked="f">
            <v:textbox style="mso-next-textbox:#_x0000_s18200" inset="0,0,0,0">
              <w:txbxContent>
                <w:tbl>
                  <w:tblPr>
                    <w:tblW w:w="5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4"/>
                    <w:gridCol w:w="1223"/>
                  </w:tblGrid>
                  <w:tr w:rsidR="00F03B7A" w:rsidRPr="00F03B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F03B7A" w:rsidRDefault="00F03B7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47 (א) לחוק לעידוד השקעות הון, תשי"ט-1959  1 (להלן - החוק העיקרי),</w:t>
                        </w:r>
                      </w:p>
                      <w:p w:rsidR="00F03B7A" w:rsidRPr="00F03B7A" w:rsidRDefault="00F03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"28%" יבוא "33%".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F03B7A" w:rsidRPr="00F03B7A" w:rsidRDefault="00F03B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47</w:t>
                        </w:r>
                      </w:p>
                    </w:tc>
                  </w:tr>
                  <w:tr w:rsidR="00F03B7A" w:rsidRPr="00F03B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F03B7A" w:rsidRDefault="00F03B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סעיף 1 יחול לגבי מפעלים או הרחבות שאושרו על פי החוק העיקרי לאחר תחילתו</w:t>
                        </w:r>
                      </w:p>
                      <w:p w:rsidR="00F03B7A" w:rsidRDefault="00F03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זה; במקרה של הרחבת מפעל שאושרה כאמור, תיחשב ההכנסה החייבת-לפי</w:t>
                        </w:r>
                      </w:p>
                      <w:p w:rsidR="00F03B7A" w:rsidRPr="00F03B7A" w:rsidRDefault="00F03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הקבועים בסעיף 74 לחוק העיקרי, בשינויים המחוייבים לפי הענין,</w:t>
                        </w:r>
                      </w:p>
                    </w:tc>
                    <w:tc>
                      <w:tcPr>
                        <w:tcW w:w="709" w:type="pct"/>
                      </w:tcPr>
                      <w:p w:rsidR="00F03B7A" w:rsidRPr="00F03B7A" w:rsidRDefault="00F03B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03B7A" w:rsidRDefault="00F03B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01" o:spid="_x0000_s1032" type="#_x0000_t202" style="position:absolute;left:0;text-align:left;margin-left:139.85pt;margin-top:87.4pt;width:294.25pt;height:21.6pt;z-index:1;mso-wrap-style:none;mso-position-horizontal-relative:page;mso-position-vertical-relative:page" stroked="f">
            <v:textbox style="mso-next-textbox:#_x0000_s18201" inset="0,0,0,0">
              <w:txbxContent>
                <w:p w:rsidR="00F03B7A" w:rsidRPr="00F03B7A" w:rsidRDefault="00F03B7A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7),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3B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2F1992-AE0F-424B-8636-8F1C132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3B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