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7EC8" w:rsidRDefault="00477EC8">
      <w:pPr>
        <w:rPr>
          <w:rtl/>
        </w:rPr>
      </w:pPr>
    </w:p>
    <w:p w:rsidR="00477E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20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202" inset="0,0,0,0">
              <w:txbxContent>
                <w:p w:rsidR="00E5758D" w:rsidRDefault="00E5758D">
                  <w:r>
                    <w:rPr>
                      <w:rtl/>
                    </w:rPr>
                    <w:t>242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03" o:spid="_x0000_s1026" type="#_x0000_t202" style="position:absolute;left:0;text-align:left;margin-left:84.1pt;margin-top:675.45pt;width:391.65pt;height:76.65pt;z-index:3;mso-position-horizontal-relative:page;mso-position-vertical-relative:page" stroked="f">
            <v:textbox style="mso-next-textbox:#_x0000_s18203" inset="0,0,0,0">
              <w:txbxContent>
                <w:p w:rsidR="00E5758D" w:rsidRDefault="00E5758D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תשכ''ט (16 ביולי 1969); הצעת החוק ודברי הסבר פורסמו בה''ח 836, תשכ''ט,</w:t>
                  </w:r>
                </w:p>
                <w:p w:rsidR="00E5758D" w:rsidRDefault="00E5758D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238.</w:t>
                  </w:r>
                </w:p>
                <w:p w:rsidR="00E5758D" w:rsidRPr="00477EC8" w:rsidRDefault="00E5758D">
                  <w:pPr>
                    <w:pStyle w:val="OCRStyle1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234; תשכ"א, עמ' 78; תשכ"ג, עמ' 14; תשכ"ה, עמ' 39; תשכ''ז, עמ' 62; תשכ''ח, עמ' 36,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04" o:spid="_x0000_s1027" type="#_x0000_t202" style="position:absolute;left:0;text-align:left;margin-left:82.3pt;margin-top:439.45pt;width:477.75pt;height:233.45pt;z-index:2;mso-position-horizontal-relative:page;mso-position-vertical-relative:page" stroked="f">
            <v:textbox style="mso-next-textbox:#_x0000_s1820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3"/>
                    <w:gridCol w:w="1372"/>
                    <w:gridCol w:w="1451"/>
                  </w:tblGrid>
                  <w:tr w:rsidR="00E5758D" w:rsidRPr="00477EC8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E5758D" w:rsidRDefault="00E5758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 בסעיף 9 לחוק לעידוד השקעות הון, תשי"ט-11959 (להלן - החוק העיקרי), במקום</w:t>
                        </w:r>
                      </w:p>
                      <w:p w:rsidR="00E5758D" w:rsidRPr="00477EC8" w:rsidRDefault="00E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"ששה חברים" יבוא "שמונה חברים".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E5758D" w:rsidRPr="00477EC8" w:rsidRDefault="00E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E5758D" w:rsidRPr="00477EC8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E5758D" w:rsidRDefault="00E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.בסעיף 21 לחוק העיקרי, במקום הסיפה המתחילה במלים "למפעל מאושר" יבוא:</w:t>
                        </w:r>
                      </w:p>
                      <w:p w:rsidR="00E5758D" w:rsidRDefault="00E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למפעל מאושר או למפעל מוכר:</w:t>
                        </w:r>
                      </w:p>
                      <w:p w:rsidR="00E5758D" w:rsidRDefault="00E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לנכס מאושר:</w:t>
                        </w:r>
                      </w:p>
                      <w:p w:rsidR="00E5758D" w:rsidRDefault="00E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להשקעה מאושרת:</w:t>
                        </w:r>
                      </w:p>
                      <w:p w:rsidR="00E5758D" w:rsidRDefault="00E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להלוואה מאושרת;</w:t>
                        </w:r>
                      </w:p>
                      <w:p w:rsidR="00E5758D" w:rsidRPr="00477EC8" w:rsidRDefault="00E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כפי שפורש באישור."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E5758D" w:rsidRPr="00477EC8" w:rsidRDefault="00E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E5758D" w:rsidRPr="00477EC8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E5758D" w:rsidRPr="00477EC8" w:rsidRDefault="00E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במקום סעיף 23 לחוק העיקרי יבוא:</w:t>
                        </w:r>
                      </w:p>
                    </w:tc>
                    <w:tc>
                      <w:tcPr>
                        <w:tcW w:w="835" w:type="pct"/>
                      </w:tcPr>
                      <w:p w:rsidR="00E5758D" w:rsidRPr="00477EC8" w:rsidRDefault="00E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23</w:t>
                        </w:r>
                      </w:p>
                    </w:tc>
                  </w:tr>
                  <w:tr w:rsidR="00E5758D">
                    <w:trPr>
                      <w:jc w:val="right"/>
                    </w:trPr>
                    <w:tc>
                      <w:tcPr>
                        <w:tcW w:w="3375" w:type="pct"/>
                      </w:tcPr>
                      <w:p w:rsidR="00E5758D" w:rsidRDefault="00E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האמור בחוק זה על מפעל מאושר חל גם -</w:t>
                        </w:r>
                      </w:p>
                      <w:p w:rsidR="00E5758D" w:rsidRDefault="00E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מפעל מוכר, פרט לסעיפים 40ב ו-62, אולם המינהלה</w:t>
                        </w:r>
                      </w:p>
                      <w:p w:rsidR="00E5758D" w:rsidRDefault="00E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להעניק לו גם את הפטור שלפי סעיף 62;</w:t>
                        </w:r>
                      </w:p>
                      <w:p w:rsidR="00E5758D" w:rsidRPr="00477EC8" w:rsidRDefault="00E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נכס מאושר, פרט לסעיפים 40,22ב ו-62."</w:t>
                        </w:r>
                      </w:p>
                    </w:tc>
                    <w:tc>
                      <w:tcPr>
                        <w:tcW w:w="790" w:type="pct"/>
                      </w:tcPr>
                      <w:p w:rsidR="00E5758D" w:rsidRDefault="00E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''דין מפעל</w:t>
                        </w:r>
                      </w:p>
                      <w:p w:rsidR="00E5758D" w:rsidRPr="00477EC8" w:rsidRDefault="00E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מוכר ונכס מאושר</w:t>
                        </w:r>
                      </w:p>
                    </w:tc>
                    <w:tc>
                      <w:tcPr>
                        <w:tcW w:w="835" w:type="pct"/>
                      </w:tcPr>
                      <w:p w:rsidR="00E5758D" w:rsidRDefault="00E5758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5758D" w:rsidRDefault="00E575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205" o:spid="_x0000_s1028" type="#_x0000_t202" style="position:absolute;left:0;text-align:left;margin-left:118.55pt;margin-top:399.05pt;width:316.8pt;height:37.8pt;z-index:1;mso-position-horizontal-relative:page;mso-position-vertical-relative:page" stroked="f">
            <v:textbox style="mso-next-textbox:#_x0000_s18205" inset="0,0,0,0">
              <w:txbxContent>
                <w:p w:rsidR="00E5758D" w:rsidRPr="00477EC8" w:rsidRDefault="00E5758D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 מס' 6), תשכ"ט-1969 *</w:t>
                  </w:r>
                </w:p>
              </w:txbxContent>
            </v:textbox>
            <w10:wrap anchorx="page" anchory="page"/>
          </v:shape>
        </w:pict>
      </w:r>
    </w:p>
    <w:p w:rsidR="006B1EEF" w:rsidRDefault="006B1EEF">
      <w:pPr>
        <w:rPr>
          <w:rtl/>
        </w:rPr>
      </w:pPr>
      <w:r>
        <w:rPr>
          <w:rtl/>
        </w:rPr>
        <w:br w:type="page"/>
      </w:r>
    </w:p>
    <w:p w:rsidR="006B1EEF" w:rsidRDefault="00000000">
      <w:pPr>
        <w:rPr>
          <w:rtl/>
        </w:rPr>
      </w:pPr>
      <w:r>
        <w:pict>
          <v:shape id="_x0000_s1820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206" inset="0,0,0,0">
              <w:txbxContent>
                <w:p w:rsidR="00E5758D" w:rsidRDefault="00E5758D">
                  <w:r>
                    <w:rPr>
                      <w:rtl/>
                    </w:rPr>
                    <w:t>243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07" o:spid="_x0000_s1030" type="#_x0000_t202" style="position:absolute;left:0;text-align:left;margin-left:335.25pt;margin-top:696.85pt;width:221.15pt;height:44.75pt;z-index:6;mso-position-horizontal-relative:page;mso-position-vertical-relative:page" stroked="f">
            <v:textbox style="mso-next-textbox:#_x0000_s18207" inset="0,0,0,0">
              <w:txbxContent>
                <w:p w:rsidR="00E5758D" w:rsidRPr="006B1EEF" w:rsidRDefault="00E5758D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2 הא''י כרך א', פרק כ''ב, עמ' 156; ס"ח תשכ"ה, עמ' 124.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08" o:spid="_x0000_s1031" type="#_x0000_t202" style="position:absolute;left:0;text-align:left;margin-left:85.6pt;margin-top:66.8pt;width:473.4pt;height:627.45pt;z-index:5;mso-position-horizontal-relative:page;mso-position-vertical-relative:page" stroked="f">
            <v:textbox style="mso-next-textbox:#_x0000_s1820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0"/>
                    <w:gridCol w:w="5804"/>
                    <w:gridCol w:w="1245"/>
                  </w:tblGrid>
                  <w:tr w:rsidR="00E5758D" w:rsidRPr="006B1EEF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השם של</w:t>
                        </w:r>
                      </w:p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 רביעי</w:t>
                        </w:r>
                      </w:p>
                    </w:tc>
                    <w:tc>
                      <w:tcPr>
                        <w:tcW w:w="4094" w:type="pct"/>
                        <w:gridSpan w:val="2"/>
                      </w:tcPr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 במקום הכותרת לפרק הרביעי לחוק העיקרי יבוא:</w:t>
                        </w:r>
                      </w:p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רביעי: דחיית תשלום אגרות ומס בולים".</w:t>
                        </w:r>
                      </w:p>
                    </w:tc>
                  </w:tr>
                  <w:tr w:rsidR="00E5758D" w:rsidRPr="006B1EEF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27א</w:t>
                        </w:r>
                      </w:p>
                    </w:tc>
                    <w:tc>
                      <w:tcPr>
                        <w:tcW w:w="4094" w:type="pct"/>
                        <w:gridSpan w:val="2"/>
                      </w:tcPr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27א לחוק העיקרי, אחרי "על פי הסעיפים 26 או 27" יבוא "או נדחה תשלום</w:t>
                        </w:r>
                      </w:p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הבולים על פי סעיף 29א".</w:t>
                        </w:r>
                      </w:p>
                    </w:tc>
                  </w:tr>
                  <w:tr w:rsidR="00E5758D" w:rsidRPr="006B1EEF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094" w:type="pct"/>
                        <w:gridSpan w:val="2"/>
                      </w:tcPr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28 לחוק העיקרי -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אחרי "לפי סעיף 27" יבוא "או את מס הבולים שתשלומו נדחה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29א";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במקום "שולמו האגרות בתוספת ריבית מיום רישומה של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או של הגדלת הונה" יבוא "שולמו האגרות ומס הבולים בתוספת ריבית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רישומה של החברה או של הגדלת הונה או מיום שהוגש דו"ח הקצאת</w:t>
                        </w:r>
                      </w:p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המניות, הכל לפי העניך.</w:t>
                        </w:r>
                      </w:p>
                    </w:tc>
                  </w:tr>
                  <w:tr w:rsidR="00E5758D" w:rsidRPr="006B1EEF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29א</w:t>
                        </w:r>
                      </w:p>
                    </w:tc>
                    <w:tc>
                      <w:tcPr>
                        <w:tcW w:w="4094" w:type="pct"/>
                        <w:gridSpan w:val="2"/>
                      </w:tcPr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29 לחוק העיקרי יבוא:</w:t>
                        </w:r>
                      </w:p>
                    </w:tc>
                  </w:tr>
                  <w:tr w:rsidR="00E5758D" w:rsidRPr="006B1EEF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1" w:type="pct"/>
                      </w:tcPr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(א) היה ייסודה של חברה בהון מניות כלול בתכנית מאושרת,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יידחה לחמש שנים סילוקו של אותו חלק מסכום מס הבולים העולה על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עשרת אלפים לירות, לגבי כל אחד מאלה: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תזכיר ההתאגדות;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דו"ח הקצאת מניות המתייחס להון המניות שהיה רשום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בתזכיר ההתאגדות בעת רישום החברה ואשר לגביו ניתן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המינהלה.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נדחה תשלום מס בולים על פי סעיף קטן (א), תרשום החברה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סכום המס הנדחה בפנקס המשכנתאות שלה, ועל המס הנדחה יחולו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133א לפקודת החברות 2 כאילו היה אגרה."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 בולים על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תזכיר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ודו"ח הקצאת</w:t>
                        </w:r>
                      </w:p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</w:t>
                        </w:r>
                      </w:p>
                    </w:tc>
                  </w:tr>
                  <w:tr w:rsidR="00E5758D" w:rsidRPr="006B1EEF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40א</w:t>
                        </w:r>
                      </w:p>
                    </w:tc>
                    <w:tc>
                      <w:tcPr>
                        <w:tcW w:w="4094" w:type="pct"/>
                        <w:gridSpan w:val="2"/>
                      </w:tcPr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40א לחוק העיקרי, בסופו יבוא: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""בנין תעשייתי" - בגין שהוקם בהתאם לתכנית מאושרת ואשר הוכח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כי -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בנייתו נגמרה אחרי יום ג' בניסן תשכ"ח (1 באפריל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1968);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נמכר לפני שהושכר לראשונה: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כולו או עיקר שטחו, בשיעור שנקבע בכתב האישור,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הושכר לראשונה למפעל מאושר, שהוא מפעל תעשייתי,</w:t>
                        </w:r>
                      </w:p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ובתנאים שנקבעו בכתב האישור."</w:t>
                        </w:r>
                      </w:p>
                    </w:tc>
                  </w:tr>
                  <w:tr w:rsidR="00E5758D" w:rsidRPr="006B1EEF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40ב</w:t>
                        </w:r>
                      </w:p>
                    </w:tc>
                    <w:tc>
                      <w:tcPr>
                        <w:tcW w:w="4094" w:type="pct"/>
                        <w:gridSpan w:val="2"/>
                      </w:tcPr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40ב לחוק העיקרי, אחרי "שהוא מפעל תעשייתי" יבוא "או בנין תעשייתי".</w:t>
                        </w:r>
                      </w:p>
                    </w:tc>
                  </w:tr>
                  <w:tr w:rsidR="00E5758D" w:rsidRPr="006B1EEF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40ג</w:t>
                        </w:r>
                      </w:p>
                    </w:tc>
                    <w:tc>
                      <w:tcPr>
                        <w:tcW w:w="4094" w:type="pct"/>
                        <w:gridSpan w:val="2"/>
                      </w:tcPr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40ג לחוק העיקרי, במקום "של נכסי המפעל, כמשמעותו לענין סעיף 21</w:t>
                        </w:r>
                      </w:p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הכנסה" יבוא "כמשמעותו לענין סעיף 21 לפקודת מס הכנסה, של נכסי המפעל</w:t>
                        </w:r>
                      </w:p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הבנין התעשייתי".</w:t>
                        </w:r>
                      </w:p>
                    </w:tc>
                  </w:tr>
                  <w:tr w:rsidR="00E5758D" w:rsidRPr="006B1EEF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40ה</w:t>
                        </w:r>
                      </w:p>
                    </w:tc>
                    <w:tc>
                      <w:tcPr>
                        <w:tcW w:w="4094" w:type="pct"/>
                        <w:gridSpan w:val="2"/>
                      </w:tcPr>
                      <w:p w:rsidR="00E5758D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כסעיף 40ה לחוק העיקרי, במקום "בדבר קיום התכנית המאושרת ותנאי האישור"</w:t>
                        </w:r>
                      </w:p>
                      <w:p w:rsidR="00E5758D" w:rsidRPr="006B1EEF" w:rsidRDefault="00E5758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"בדבר הבטחת החזרת המענק במקרה שיבוטל על פי סעיף 75א (א)",</w:t>
                        </w:r>
                      </w:p>
                    </w:tc>
                  </w:tr>
                </w:tbl>
                <w:p w:rsidR="00E5758D" w:rsidRDefault="00E5758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73F08" w:rsidRDefault="00973F08">
      <w:pPr>
        <w:rPr>
          <w:rtl/>
        </w:rPr>
      </w:pPr>
      <w:r>
        <w:rPr>
          <w:rtl/>
        </w:rPr>
        <w:br w:type="page"/>
      </w:r>
    </w:p>
    <w:p w:rsidR="00973F08" w:rsidRDefault="00000000">
      <w:pPr>
        <w:rPr>
          <w:rtl/>
        </w:rPr>
      </w:pPr>
      <w:r>
        <w:pict>
          <v:shape id="_x0000_s1820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8209" inset="0,0,0,0">
              <w:txbxContent>
                <w:p w:rsidR="00E5758D" w:rsidRDefault="00E5758D">
                  <w:r>
                    <w:rPr>
                      <w:rtl/>
                    </w:rPr>
                    <w:t>244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10" o:spid="_x0000_s1033" type="#_x0000_t202" style="position:absolute;left:0;text-align:left;margin-left:84.75pt;margin-top:690.65pt;width:375.4pt;height:56.85pt;z-index:9;mso-position-horizontal-relative:page;mso-position-vertical-relative:page" stroked="f">
            <v:textbox style="mso-next-textbox:#_x0000_s18210" inset="0,0,0,0">
              <w:txbxContent>
                <w:p w:rsidR="00E5758D" w:rsidRPr="00973F08" w:rsidRDefault="00E5758D">
                  <w:pPr>
                    <w:pStyle w:val="OCRStyle3"/>
                    <w:ind w:left="205"/>
                  </w:pPr>
                  <w:r>
                    <w:rPr>
                      <w:rtl/>
                    </w:rPr>
                    <w:t>3 דיני מדינת ישראל/ נוסח חדש 6 ,עמ'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11" o:spid="_x0000_s1034" type="#_x0000_t202" style="position:absolute;left:0;text-align:left;margin-left:84.75pt;margin-top:68.75pt;width:467.5pt;height:620.75pt;z-index:8;mso-position-horizontal-relative:page;mso-position-vertical-relative:page" stroked="f">
            <v:textbox style="mso-next-textbox:#_x0000_s1821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8"/>
                    <w:gridCol w:w="1272"/>
                    <w:gridCol w:w="1360"/>
                  </w:tblGrid>
                  <w:tr w:rsidR="00E5758D" w:rsidRPr="00973F08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40ו לחוק העיקרי, בסופו יבוא "או כי בעל הבנין התעשייתי השכיר אותו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למפעל מאושר שהוא מפעל תעשייתי".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5758D" w:rsidRPr="00973F08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40ו</w:t>
                        </w:r>
                      </w:p>
                    </w:tc>
                  </w:tr>
                  <w:tr w:rsidR="00E5758D" w:rsidRPr="00973F08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E5758D" w:rsidRPr="00973F08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43א לחוק העיקרי, אחרי "בשל נכסי המפעל" יבוא "או בשל בנין תעשייתי'/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5758D" w:rsidRPr="00973F08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43א</w:t>
                        </w:r>
                      </w:p>
                    </w:tc>
                  </w:tr>
                  <w:tr w:rsidR="00E5758D" w:rsidRPr="00973F08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47א לחוק העיקרי -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"או איגרת חוב" יבוא "לתקופה של שתים-עשרה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לפחות";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(2), במקום פסקאות משנה (א) ו-(ב) יבוא: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"אך לגבי הכנסה מדיבידנד לא יינתן הפטור אלא עד ליום י"ח בטבת</w:t>
                        </w:r>
                      </w:p>
                      <w:p w:rsidR="00E5758D" w:rsidRPr="00973F08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 (1 בינואר 1975)."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5758D" w:rsidRPr="00973F08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47א</w:t>
                        </w:r>
                      </w:p>
                    </w:tc>
                  </w:tr>
                  <w:tr w:rsidR="00E5758D" w:rsidRPr="00973F08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E5758D" w:rsidRPr="00973F08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52 לחוק העיקרי יבוא: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5758D" w:rsidRPr="00973F08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52</w:t>
                        </w:r>
                      </w:p>
                    </w:tc>
                  </w:tr>
                  <w:tr w:rsidR="00E5758D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יחיד שדיה לתושב ישראל וקיבל הכנסה שהושגה או שנבעה מחוץ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או שהיה לו ריווח הון ממכירת נכס הנמצא מחוץ לישראל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היה בבעלותו ערב היותו לתושב ישראל, יפטרנו שר האוצר, לפי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בקשתו, ממם עליהם, כולו או מקצתו, שבע שנים מיום שנעשה תושב</w:t>
                        </w:r>
                      </w:p>
                      <w:p w:rsidR="00E5758D" w:rsidRPr="00973F08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'הכנסת יחיד</w:t>
                        </w:r>
                      </w:p>
                      <w:p w:rsidR="00E5758D" w:rsidRPr="00973F08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לארץ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5758D" w:rsidRPr="00973F08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E5758D" w:rsidRPr="00973F08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אחרי פרק שביעי 1 יבוא:</w:t>
                        </w:r>
                      </w:p>
                    </w:tc>
                    <w:tc>
                      <w:tcPr>
                        <w:tcW w:w="800" w:type="pct"/>
                        <w:vMerge w:val="restart"/>
                      </w:tcPr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מרק</w:t>
                        </w:r>
                      </w:p>
                      <w:p w:rsidR="00E5758D" w:rsidRPr="00973F08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שביעי 2</w:t>
                        </w:r>
                      </w:p>
                    </w:tc>
                  </w:tr>
                  <w:tr w:rsidR="00E5758D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שביעי 2: הטבות במס לחברות למסחר בינלאומי ולבעלי מניותיהן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53ה. בפרק זה -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"מסחר בינלאומי" - מסחר המתנהל כולו מחוץ לישראל ואינו כולל יצוא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מישראל או יבוא אליה: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למסחר בינלאומי" - חברה הרשומה בישראל כחברה נכרית,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כל עיסוקה הוא במסחר בינלאומי; לענין זה לא יראו בעיסוקה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 עיסוק אחר שהוא טפל למסחר הבינלאומי ושאושר מראש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המינהלה;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חוץ" - לרבות מי שהיה תושב חוץ בעת שרכש מניות בחברה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למסחר בינלאומי;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"מס" - מם הכנסה לרבות מס על ריווח הון וכל מס אחר המוטל על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הכנסה;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המונחים - כמשמעותם בפקודת מס הכנסה (להלן - הפקודה) 3.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E5758D" w:rsidRPr="00973F08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800" w:type="pct"/>
                        <w:vMerge/>
                      </w:tcPr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5758D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53ו. שר האוצר רשאי, על פי המלצת המינהלה, לפטור ממס, כולו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 -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הכנסתה של חברה למסחר בינלאומי, שמקורה במסחר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 ושרואים אותה כמופקת כישראל רק לפי סעיף 5 (1)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לפקודה; פטור זה יכול להינתן לתקופה שלא תעלה על 10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משנת המס הראשונה שבה היתה לחברה הכנסה חייבת: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דיבידנד שחולק לתושב חוץ על ידי חברה למסחר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 מתוך הכנסה שניתן עליה פטור לפי פסקה (1)::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כללה הכנסתה של החברה גם הכנסה אחרת, יחול הפטור רק</w:t>
                        </w:r>
                      </w:p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אותו חלק מהדיבידנד ששיעורו כיחס הכנסתה של החברה</w:t>
                        </w:r>
                      </w:p>
                    </w:tc>
                    <w:tc>
                      <w:tcPr>
                        <w:tcW w:w="748" w:type="pct"/>
                      </w:tcPr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לחברה</w:t>
                        </w:r>
                      </w:p>
                      <w:p w:rsidR="00E5758D" w:rsidRPr="00973F08" w:rsidRDefault="00E5758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ולבעלי מניותיה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5758D" w:rsidRDefault="00E5758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5758D" w:rsidRDefault="00E5758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5758D" w:rsidRDefault="00E5758D">
      <w:pPr>
        <w:rPr>
          <w:rtl/>
        </w:rPr>
      </w:pPr>
      <w:r>
        <w:rPr>
          <w:rtl/>
        </w:rPr>
        <w:br w:type="page"/>
      </w:r>
    </w:p>
    <w:p w:rsidR="00E5758D" w:rsidRDefault="00000000">
      <w:pPr>
        <w:rPr>
          <w:rtl/>
        </w:rPr>
      </w:pPr>
      <w:r>
        <w:pict>
          <v:shape id="_x0000_s18212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8212" inset="0,0,0,0">
              <w:txbxContent>
                <w:p w:rsidR="00E5758D" w:rsidRDefault="00E5758D">
                  <w:r>
                    <w:rPr>
                      <w:rtl/>
                    </w:rPr>
                    <w:t>245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13" o:spid="_x0000_s1036" type="#_x0000_t202" style="position:absolute;left:0;text-align:left;margin-left:389.5pt;margin-top:713.05pt;width:156.6pt;height:35.25pt;z-index:15;mso-position-horizontal-relative:page;mso-position-vertical-relative:page" stroked="f">
            <v:textbox style="mso-next-textbox:#_x0000_s18213" inset="0,0,0,0">
              <w:txbxContent>
                <w:p w:rsidR="00E5758D" w:rsidRDefault="00E5758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214" o:spid="_x0000_s1037" type="#_x0000_t202" style="position:absolute;left:0;text-align:left;margin-left:186.35pt;margin-top:610.7pt;width:84.35pt;height:37.8pt;z-index:14;mso-position-horizontal-relative:page;mso-position-vertical-relative:page" stroked="f">
            <v:textbox style="mso-next-textbox:#_x0000_s18214" inset="0,0,0,0">
              <w:txbxContent>
                <w:p w:rsidR="00E5758D" w:rsidRDefault="00E5758D">
                  <w:pPr>
                    <w:pStyle w:val="OCRStyle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E5758D" w:rsidRDefault="00E5758D">
                  <w:pPr>
                    <w:pStyle w:val="OCRStyle4"/>
                    <w:ind w:left="29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15" o:spid="_x0000_s1038" type="#_x0000_t202" style="position:absolute;left:0;text-align:left;margin-left:305.15pt;margin-top:610.7pt;width:89.5pt;height:40.4pt;z-index:13;mso-position-horizontal-relative:page;mso-position-vertical-relative:page" stroked="f">
            <v:textbox style="mso-next-textbox:#_x0000_s18215" inset="0,0,0,0">
              <w:txbxContent>
                <w:p w:rsidR="00E5758D" w:rsidRDefault="00E5758D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5758D" w:rsidRDefault="00E5758D">
                  <w:pPr>
                    <w:pStyle w:val="OCRStyle4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16" o:spid="_x0000_s1039" type="#_x0000_t202" style="position:absolute;left:0;text-align:left;margin-left:420.4pt;margin-top:639.8pt;width:123.95pt;height:49.1pt;z-index:12;mso-position-horizontal-relative:page;mso-position-vertical-relative:page" stroked="f">
            <v:textbox style="mso-next-textbox:#_x0000_s18216" inset="0,0,0,0">
              <w:txbxContent>
                <w:p w:rsidR="00E5758D" w:rsidRDefault="00E5758D">
                  <w:pPr>
                    <w:pStyle w:val="OCRStyle4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5758D" w:rsidRDefault="00E5758D">
                  <w:pPr>
                    <w:pStyle w:val="OCRStyle4"/>
                    <w:ind w:left="5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17" o:spid="_x0000_s1040" type="#_x0000_t202" style="position:absolute;left:0;text-align:left;margin-left:81.25pt;margin-top:64pt;width:480.35pt;height:539.75pt;z-index:11;mso-position-horizontal-relative:page;mso-position-vertical-relative:page" stroked="f">
            <v:textbox style="mso-next-textbox:#_x0000_s1821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9"/>
                    <w:gridCol w:w="6001"/>
                    <w:gridCol w:w="1202"/>
                  </w:tblGrid>
                  <w:tr w:rsidR="00E5758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ממסחר בינלאומי לכלל הכנסתה; פטור זה יכול להינתן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20 שנה משנת המס הראשונה שבה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לחברה הכנסה חייבת.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5758D" w:rsidRPr="00E5758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53ז. משניתן פטור לפי סעיף 53ו, יהיה גם ריווח הון פטור ממס אם - .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נבע לחברה ממכירת נכסים שמחוץ לישראל בת-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הפטור שניתן לגבי הכנסת החברה;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נבע לתושב חוץ ממכירת מניות בחברה בתקופת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 שניתן לגבי הדיבידנד."</w:t>
                        </w:r>
                      </w:p>
                    </w:tc>
                    <w:tc>
                      <w:tcPr>
                        <w:tcW w:w="688" w:type="pct"/>
                      </w:tcPr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ממם</w:t>
                        </w:r>
                      </w:p>
                      <w:p w:rsidR="00E5758D" w:rsidRP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הון</w:t>
                        </w:r>
                      </w:p>
                    </w:tc>
                  </w:tr>
                  <w:tr w:rsidR="00E5758D" w:rsidRPr="00E5758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5758D" w:rsidRP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74</w:t>
                        </w:r>
                      </w:p>
                    </w:tc>
                    <w:tc>
                      <w:tcPr>
                        <w:tcW w:w="4124" w:type="pct"/>
                        <w:gridSpan w:val="2"/>
                      </w:tcPr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בפסקה (1) לסעיף 74 (ב) לחוק העיקרי, במקום הרישה עד "ייקבע באופן אחר" יבוא: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"תקבע המינהלה את האופן שבו יחושב אותו חלק מהכנסתו החייבת של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שיש לראותו כהכנסה חייבת של החלק המאושר: כל עוד לא קבעה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את אופן החישוב יראו כהכנסתו החייבת של החלק המאושר,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מהכנסתו החייבת של המפעל כולו שהוא כיחס שבין שווי הנכסים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בחלק המאושר לבין שווי הנכסים הקבועים של המפעל כולו</w:t>
                        </w:r>
                      </w:p>
                      <w:p w:rsidR="00E5758D" w:rsidRP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זמן".</w:t>
                        </w:r>
                      </w:p>
                    </w:tc>
                  </w:tr>
                  <w:tr w:rsidR="00E5758D" w:rsidRPr="00E5758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5758D" w:rsidRP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75א</w:t>
                        </w:r>
                      </w:p>
                    </w:tc>
                    <w:tc>
                      <w:tcPr>
                        <w:tcW w:w="4124" w:type="pct"/>
                        <w:gridSpan w:val="2"/>
                      </w:tcPr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75א לחוק העיקרי, סעיף קטן (ד) יסומן "(ה)" ולפניו יבוא: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קיבלה חברה מענק, וניתן עליה צו פירוק לפני שקיימה את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(א), יראו את צו הפירוק כהחלטת המינהלה לביטול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לפי הסעיף הקטן האמור, זולת אם החליטה המינהלה שלא לבטל</w:t>
                        </w:r>
                      </w:p>
                      <w:p w:rsidR="00E5758D" w:rsidRP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המענק או לבטל רק מקצתו."</w:t>
                        </w:r>
                      </w:p>
                    </w:tc>
                  </w:tr>
                  <w:tr w:rsidR="00E5758D" w:rsidRPr="00E5758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5758D" w:rsidRP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</w:t>
                        </w:r>
                      </w:p>
                    </w:tc>
                    <w:tc>
                      <w:tcPr>
                        <w:tcW w:w="4124" w:type="pct"/>
                        <w:gridSpan w:val="2"/>
                      </w:tcPr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94 לחוק העיקרי, אחרי "(להלן בסעיף זה - תקופת ההשקעה)" יבוא "ובשל</w:t>
                        </w:r>
                      </w:p>
                      <w:p w:rsidR="00E5758D" w:rsidRP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תעשייתי שבנייתו נגמרה לפני יום י"ט בתמוז תשל"ב (1 ביוני 1972)".</w:t>
                        </w:r>
                      </w:p>
                    </w:tc>
                  </w:tr>
                  <w:tr w:rsidR="00E5758D" w:rsidRPr="00E5758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5758D" w:rsidRP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124" w:type="pct"/>
                        <w:gridSpan w:val="2"/>
                      </w:tcPr>
                      <w:p w:rsidR="00E5758D" w:rsidRP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. בתוספת לחוק העיקרי, אחרי "בנינים" יבוא "בניינים תעשייתיים".</w:t>
                        </w:r>
                      </w:p>
                    </w:tc>
                  </w:tr>
                  <w:tr w:rsidR="00E5758D" w:rsidRPr="00E5758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5758D" w:rsidRP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24" w:type="pct"/>
                        <w:gridSpan w:val="2"/>
                      </w:tcPr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רכש אדם איגרת חוב לפני תחילת חוק זה "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בסעיף 47א (ב) (2), כפי שתוקן, כדי לגרוע מזכויות שהיו לו אילולא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תוקן הסעיף?</w:t>
                        </w:r>
                      </w:p>
                      <w:p w:rsid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רואים אותו מתחילת חוק זה ואילך כזכאי לפטור המוענק מכוח תיקון</w:t>
                        </w:r>
                      </w:p>
                      <w:p w:rsidR="00E5758D" w:rsidRPr="00E5758D" w:rsidRDefault="00E5758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הסעיף, אם היה זכאי לכך אילו רכש את איגרת החוב אחרי תחילתו של חוק זה.</w:t>
                        </w:r>
                      </w:p>
                    </w:tc>
                  </w:tr>
                </w:tbl>
                <w:p w:rsidR="00E5758D" w:rsidRDefault="00E5758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77E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75D459-06E5-40DC-A667-380C95B0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7EC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B1EE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73F0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5758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2008-04-06T21:17:00Z</dcterms:created>
  <dcterms:modified xsi:type="dcterms:W3CDTF">2008-04-06T21:17:00Z</dcterms:modified>
</cp:coreProperties>
</file>