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40F6" w:rsidRDefault="00B340F6">
      <w:pPr>
        <w:rPr>
          <w:rtl/>
        </w:rPr>
      </w:pPr>
    </w:p>
    <w:p w:rsidR="00B340F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63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8635" inset="0,0,0,0">
              <w:txbxContent>
                <w:p w:rsidR="003F77CB" w:rsidRDefault="003F77CB">
                  <w:r>
                    <w:rPr>
                      <w:rtl/>
                    </w:rPr>
                    <w:t>10                                           ספר החוקים 193                   י"ג בטבת התשי"ו 28.12.1955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36" o:spid="_x0000_s1026" type="#_x0000_t202" style="position:absolute;left:0;text-align:left;margin-left:65.05pt;margin-top:682.6pt;width:393.05pt;height:109.9pt;z-index:4;mso-position-horizontal-relative:page;mso-position-vertical-relative:page" stroked="f">
            <v:textbox style="mso-next-textbox:#_x0000_s18636" inset="0,0,0,0">
              <w:txbxContent>
                <w:p w:rsidR="003F77CB" w:rsidRDefault="003F77CB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בטבת תשט"ז (19 בדצמבר1955) ; הצעת החוק ודברי הסבר נתפרסמו בה''ח</w:t>
                  </w:r>
                </w:p>
                <w:p w:rsidR="003F77CB" w:rsidRDefault="003F77CB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249, תשט"ז, עמי 6.</w:t>
                  </w:r>
                </w:p>
                <w:p w:rsidR="003F77CB" w:rsidRDefault="003F77C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1 חוקי א"י, ברד א', פרק נ"ד, עמ' 650: ע"ר 1936, תוס' 1 מס' 630. עמ' 242; ע"ר ,1937</w:t>
                  </w:r>
                </w:p>
                <w:p w:rsidR="003F77CB" w:rsidRDefault="003F77CB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חוס' 1 מס' 660, עמ' 1; ע"ר 1940, תוסף 1 מסי 1052, עמי 189; ע"ר 1946, תום' 1 מס'</w:t>
                  </w:r>
                </w:p>
                <w:p w:rsidR="003F77CB" w:rsidRDefault="003F77CB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1502, עמ' 170; ע"ר 1947, תוס'  1  מס' 1568 עמ' 29; ס"ח 62, תשי"א, עמ' 10; ס"ח 152,</w:t>
                  </w:r>
                </w:p>
                <w:p w:rsidR="003F77CB" w:rsidRDefault="003F77CB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חשי"ד, עמ' .106</w:t>
                  </w:r>
                </w:p>
                <w:p w:rsidR="003F77CB" w:rsidRPr="00B340F6" w:rsidRDefault="003F77CB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2 ע"ר 1936, תוס' 1 מס' 652, עמ' 263,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37" o:spid="_x0000_s1027" type="#_x0000_t202" style="position:absolute;left:0;text-align:left;margin-left:62.1pt;margin-top:101.1pt;width:491.25pt;height:576.4pt;z-index:3;mso-position-horizontal-relative:page;mso-position-vertical-relative:page" stroked="f">
            <v:textbox style="mso-next-textbox:#_x0000_s1863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6"/>
                    <w:gridCol w:w="1588"/>
                    <w:gridCol w:w="1306"/>
                  </w:tblGrid>
                  <w:tr w:rsidR="003F77CB" w:rsidRPr="00B340F6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 אחרי סעיף 30 לפקודת העדות 1 יווסף חלק זה: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חלק ח'</w:t>
                        </w:r>
                      </w:p>
                    </w:tc>
                  </w:tr>
                  <w:tr w:rsidR="003F77CB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 ח'-תעודות של עובדי הציבור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31 .בחלק זה "עובד הציבור" - עובד המדינה, לרבות שופט, דיין בבית דין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דתי, חבר הממשלה ומבקר המדינה; ובן עובד ההסתדרות הציונית העולמית</w:t>
                        </w:r>
                      </w:p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והסוכנות היהודית לארץ ישראל.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 הציבור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F77CB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.בית המשפט רשאי' אם אץ הוא רואה חשש לעיוות הדין, לקבל כראיה תעודה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דבר שנרשם במסמך רשמי; והתעודה תהא חתומה בידי עובד הציבור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שעשה את הרישום או שעשה את המעשה או קיבל את הידיעה שנרשמו; או,</w:t>
                        </w:r>
                      </w:p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הוא עוד באותו שירות, בידי האחראי על היחידה בה עבד.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סל</w:t>
                        </w:r>
                      </w:p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 הציבור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F77CB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33* תעודה שהוגשה לבית המשפט לפי סעיף 32, דינה כדין עדות בשבועה</w:t>
                        </w:r>
                      </w:p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117 לפקודת החוק הפלילי, 1936   2.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הדין</w:t>
                        </w:r>
                      </w:p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F77CB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עובד הציבור יערוך תעודתו בצורה הקבועה בתוספת לחוק זה או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בצורה דומה לה ככל האפשר-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רשאי, בתקנות, לקבוע את דרך הנשתן של תעודות</w:t>
                        </w:r>
                      </w:p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הציבור ולהביא שינויים בטפסיהם.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צורת התעודה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F77CB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.אין בהוראות חלק זה -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כדי לגרוע מהוראות כל חוק אחר בדבר הוכחת עובדה על ידי תעודה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הציבור;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כדי לגרוע מכל דין שלפיו רשאי או חייב עובד הציבור לסרב להעיד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לסרב למסור תעודה;</w:t>
                        </w:r>
                      </w:p>
                      <w:p w:rsidR="003F77CB" w:rsidRPr="00B340F6" w:rsidRDefault="003F77C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כדי לגרוע מכל דין הפוסל עדות או המסיע קבלתה כראיה.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שטירת זכויות</w:t>
                        </w:r>
                      </w:p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F77CB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.(א) הוראות סעיף 32 אינן גורעות מכוחו של בית המשפט לצוות כי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הציבור ייחקר בבית המשפט, ובית המשפט ייעתר לבקשתו של בעל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לצוות על כך.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נתברר לבית המשפט כי בקשתו של בעל דין לחקור עובד הציבור בבית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באה לשם קינטור או מתוך קלות דעת, רשאי הוא להטיל על</w:t>
                        </w:r>
                      </w:p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את הוצאות החקירה."</w:t>
                        </w:r>
                      </w:p>
                    </w:tc>
                    <w:tc>
                      <w:tcPr>
                        <w:tcW w:w="889" w:type="pct"/>
                      </w:tcPr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בעל פה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F77CB" w:rsidRPr="00B340F6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.אחרי סעיף 36 יווסף חלק זה: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חלק מ'</w:t>
                        </w:r>
                      </w:p>
                    </w:tc>
                  </w:tr>
                  <w:tr w:rsidR="003F77CB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 טי - הצהרות כראיות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37 (.א) מקום שמותר לאדם על פי דץ, או שנדרש אדם, להוכיח דבר על ידי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בכתב, בשבועה או בהן צדק, תהיה הצהרתו בכתב ראיה כשרה, אם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הוזהר המצהיר כי עליו להצהיר את האטת וכי יהא צפוי לענשים הקבועים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אם לא יעשה כן.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האזהרה לפי סעיף קטן (א) תינתן, ונתינתה תאושר על פני ההצהרה,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אחד מאלה:</w:t>
                        </w:r>
                      </w:p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שופט;</w:t>
                        </w:r>
                      </w:p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דיין בבית דין דתי;</w:t>
                        </w:r>
                      </w:p>
                    </w:tc>
                    <w:tc>
                      <w:tcPr>
                        <w:tcW w:w="889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שבכתב</w:t>
                        </w:r>
                      </w:p>
                      <w:p w:rsidR="003F77CB" w:rsidRPr="00B340F6" w:rsidRDefault="003F77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כראיה ברין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F77CB" w:rsidRDefault="003F77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F77CB" w:rsidRDefault="003F77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638" o:spid="_x0000_s1028" type="#_x0000_t202" style="position:absolute;left:0;text-align:left;margin-left:156.35pt;margin-top:74.15pt;width:230.1pt;height:22.75pt;z-index:2;mso-position-horizontal-relative:page;mso-position-vertical-relative:page" stroked="f">
            <v:textbox style="mso-next-textbox:#_x0000_s18638" inset="0,0,0,0">
              <w:txbxContent>
                <w:p w:rsidR="003F77CB" w:rsidRPr="00B340F6" w:rsidRDefault="003F77CB">
                  <w:pPr>
                    <w:pStyle w:val="OCRStyle1"/>
                    <w:ind w:left="19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העדות. תשט"ז-1955*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39" o:spid="_x0000_s1029" type="#_x0000_t202" style="position:absolute;left:0;text-align:left;margin-left:501.45pt;margin-top:62.65pt;width:55.05pt;height:22.75pt;z-index:1;mso-position-horizontal-relative:page;mso-position-vertical-relative:page" stroked="f">
            <v:textbox style="mso-next-textbox:#_x0000_s18639" inset="0,0,0,0">
              <w:txbxContent>
                <w:p w:rsidR="003F77CB" w:rsidRDefault="003F77CB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מספר 7</w:t>
                  </w:r>
                </w:p>
              </w:txbxContent>
            </v:textbox>
            <w10:wrap anchorx="page" anchory="page"/>
          </v:shape>
        </w:pict>
      </w:r>
    </w:p>
    <w:p w:rsidR="003F77CB" w:rsidRDefault="003F77CB">
      <w:pPr>
        <w:rPr>
          <w:rtl/>
        </w:rPr>
      </w:pPr>
      <w:r>
        <w:rPr>
          <w:rtl/>
        </w:rPr>
        <w:br w:type="page"/>
      </w:r>
    </w:p>
    <w:p w:rsidR="003F77CB" w:rsidRDefault="00000000">
      <w:pPr>
        <w:rPr>
          <w:rtl/>
        </w:rPr>
      </w:pPr>
      <w:r>
        <w:pict>
          <v:shape id="_x0000_s18640" o:spid="_x0000_s1030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8640" inset="0,0,0,0">
              <w:txbxContent>
                <w:p w:rsidR="003F77CB" w:rsidRDefault="003F77CB">
                  <w:r>
                    <w:rPr>
                      <w:rtl/>
                    </w:rPr>
                    <w:t>11                                           ספר החוקים 193                   י"ג בטבת התשי"ו 28.12.1955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41" o:spid="_x0000_s1031" type="#_x0000_t202" style="position:absolute;left:0;text-align:left;margin-left:384.95pt;margin-top:775.7pt;width:177.2pt;height:17.6pt;z-index:12;mso-position-horizontal-relative:page;mso-position-vertical-relative:page" stroked="f">
            <v:textbox style="mso-next-textbox:#_x0000_s18641" inset="0,0,0,0">
              <w:txbxContent>
                <w:p w:rsidR="003F77CB" w:rsidRDefault="003F77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642" o:spid="_x0000_s1032" type="#_x0000_t202" style="position:absolute;left:0;text-align:left;margin-left:180.65pt;margin-top:677.3pt;width:78.8pt;height:31.1pt;z-index:11;mso-position-horizontal-relative:page;mso-position-vertical-relative:page" stroked="f">
            <v:textbox style="mso-next-textbox:#_x0000_s18642" inset="0,0,0,0">
              <w:txbxContent>
                <w:p w:rsidR="003F77CB" w:rsidRDefault="003F77CB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3F77CB" w:rsidRDefault="003F77CB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43" o:spid="_x0000_s1033" type="#_x0000_t202" style="position:absolute;left:0;text-align:left;margin-left:305.15pt;margin-top:680.25pt;width:101.55pt;height:37.4pt;z-index:10;mso-position-horizontal-relative:page;mso-position-vertical-relative:page" stroked="f">
            <v:textbox style="mso-next-textbox:#_x0000_s18643" inset="0,0,0,0">
              <w:txbxContent>
                <w:p w:rsidR="003F77CB" w:rsidRDefault="003F77CB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F77CB" w:rsidRDefault="003F77CB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44" o:spid="_x0000_s1034" type="#_x0000_t202" style="position:absolute;left:0;text-align:left;margin-left:452.3pt;margin-top:707.4pt;width:86.15pt;height:28.9pt;z-index:9;mso-position-horizontal-relative:page;mso-position-vertical-relative:page" stroked="f">
            <v:textbox style="mso-next-textbox:#_x0000_s18644" inset="0,0,0,0">
              <w:txbxContent>
                <w:p w:rsidR="003F77CB" w:rsidRDefault="003F77CB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F77CB" w:rsidRDefault="003F77CB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45" o:spid="_x0000_s1035" type="#_x0000_t202" style="position:absolute;left:0;text-align:left;margin-left:113.3pt;margin-top:402.45pt;width:465.5pt;height:268.5pt;z-index:8;mso-position-horizontal-relative:page;mso-position-vertical-relative:page" stroked="f">
            <v:textbox style="mso-next-textbox:#_x0000_s18645" inset="0,0,0,0">
              <w:txbxContent>
                <w:p w:rsidR="003F77CB" w:rsidRDefault="003F77CB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 xml:space="preserve">בבית משפט </w:t>
                  </w:r>
                  <w:r>
                    <w:rPr>
                      <w:rtl/>
                    </w:rPr>
                    <w:tab/>
                  </w:r>
                </w:p>
                <w:p w:rsidR="003F77CB" w:rsidRDefault="003F77CB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 xml:space="preserve">בענין שבין </w:t>
                  </w:r>
                  <w:r>
                    <w:rPr>
                      <w:rtl/>
                    </w:rPr>
                    <w:tab/>
                    <w:t>ובין</w:t>
                  </w:r>
                  <w:r>
                    <w:rPr>
                      <w:rtl/>
                    </w:rPr>
                    <w:tab/>
                  </w:r>
                </w:p>
                <w:p w:rsidR="003F77CB" w:rsidRDefault="003F77CB">
                  <w:pPr>
                    <w:pStyle w:val="OCRStyle2"/>
                    <w:ind w:left="303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תעודת עובד ציבור</w:t>
                  </w:r>
                </w:p>
                <w:p w:rsidR="003F77CB" w:rsidRDefault="003F77CB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 xml:space="preserve">שם עובד הציבור </w:t>
                  </w:r>
                  <w:r>
                    <w:rPr>
                      <w:rtl/>
                    </w:rPr>
                    <w:tab/>
                  </w:r>
                </w:p>
                <w:p w:rsidR="003F77CB" w:rsidRDefault="003F77CB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 xml:space="preserve">מענו </w:t>
                  </w:r>
                  <w:r>
                    <w:rPr>
                      <w:rtl/>
                    </w:rPr>
                    <w:tab/>
                    <w:t>.</w:t>
                  </w:r>
                  <w:r>
                    <w:rPr>
                      <w:rtl/>
                    </w:rPr>
                    <w:tab/>
                  </w:r>
                </w:p>
                <w:p w:rsidR="003F77CB" w:rsidRDefault="003F77CB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 xml:space="preserve">שם היחידה שבה הוא עובר </w:t>
                  </w:r>
                  <w:r>
                    <w:rPr>
                      <w:rtl/>
                    </w:rPr>
                    <w:tab/>
                  </w:r>
                </w:p>
                <w:p w:rsidR="003F77CB" w:rsidRDefault="003F77CB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 xml:space="preserve">מקום עבודתי </w:t>
                  </w:r>
                  <w:r>
                    <w:rPr>
                      <w:rtl/>
                    </w:rPr>
                    <w:tab/>
                    <w:t>?</w:t>
                  </w:r>
                </w:p>
                <w:p w:rsidR="003F77CB" w:rsidRDefault="003F77CB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 xml:space="preserve">תיאור משרתו </w:t>
                  </w:r>
                  <w:r>
                    <w:rPr>
                      <w:rtl/>
                    </w:rPr>
                    <w:tab/>
                  </w:r>
                </w:p>
                <w:p w:rsidR="003F77CB" w:rsidRDefault="003F77CB">
                  <w:pPr>
                    <w:pStyle w:val="OCRStyle2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אני החתום מטה מעיד ומאשר בזה לאמור .</w:t>
                  </w:r>
                </w:p>
                <w:p w:rsidR="003F77CB" w:rsidRDefault="003F77CB">
                  <w:pPr>
                    <w:pStyle w:val="OCRStyle2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תעודה זו ניתנת על ידי לשם הגשתה כראייה לבית המשפט/ והריני מצהיר בזה כי ידוע לי</w:t>
                  </w:r>
                </w:p>
                <w:p w:rsidR="003F77CB" w:rsidRDefault="003F77CB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היטב' שלענין הוראות החוק הפלילי בדבר עדות שקר בשבועה בבית המשפט/ דין תעודה זו כשהיא</w:t>
                  </w:r>
                </w:p>
                <w:p w:rsidR="003F77CB" w:rsidRDefault="003F77CB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חתומה על ידי כדין עדות בשבועה שנתתי בבית המשפט.</w:t>
                  </w:r>
                </w:p>
                <w:p w:rsidR="003F77CB" w:rsidRDefault="003F77CB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 xml:space="preserve">תאריך </w:t>
                  </w:r>
                  <w:r>
                    <w:rPr>
                      <w:rtl/>
                    </w:rPr>
                    <w:tab/>
                    <w:t>.</w:t>
                  </w:r>
                </w:p>
                <w:p w:rsidR="003F77CB" w:rsidRPr="003F77CB" w:rsidRDefault="003F77CB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 xml:space="preserve">חתימה </w:t>
                  </w:r>
                  <w:r>
                    <w:rPr>
                      <w:rtl/>
                    </w:rPr>
                    <w:tab/>
                    <w:t>."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46" o:spid="_x0000_s1036" type="#_x0000_t202" style="position:absolute;left:0;text-align:left;margin-left:290.5pt;margin-top:339.3pt;width:154.65pt;height:61.2pt;z-index:7;mso-position-horizontal-relative:page;mso-position-vertical-relative:page" stroked="f">
            <v:textbox style="mso-next-textbox:#_x0000_s18646" inset="0,0,0,0">
              <w:txbxContent>
                <w:p w:rsidR="003F77CB" w:rsidRDefault="003F77CB">
                  <w:pPr>
                    <w:pStyle w:val="OCRStyle2"/>
                    <w:ind w:left="107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</w:t>
                  </w:r>
                </w:p>
                <w:p w:rsidR="003F77CB" w:rsidRDefault="003F77CB">
                  <w:pPr>
                    <w:pStyle w:val="OCRStyle2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(סעיף 34)</w:t>
                  </w:r>
                </w:p>
                <w:p w:rsidR="003F77CB" w:rsidRPr="003F77CB" w:rsidRDefault="003F77CB">
                  <w:pPr>
                    <w:pStyle w:val="OCRStyle2"/>
                    <w:ind w:left="27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טופס תעודת עובד הציבור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47" o:spid="_x0000_s1037" type="#_x0000_t202" style="position:absolute;left:0;text-align:left;margin-left:148.55pt;margin-top:63.5pt;width:413.6pt;height:268.5pt;z-index:6;mso-position-horizontal-relative:page;mso-position-vertical-relative:page" stroked="f">
            <v:textbox style="mso-next-textbox:#_x0000_s18647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79"/>
                    <w:gridCol w:w="1343"/>
                  </w:tblGrid>
                  <w:tr w:rsidR="003F77CB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היועץ המשפטי לממשלה, פרקליט המדינה,  פרקליטי מחוז' פרקליטי</w:t>
                        </w:r>
                      </w:p>
                      <w:p w:rsid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נפה' וסגני פרקליט המדינה ופרקליטי המחוז ועוזריהם;</w:t>
                        </w:r>
                      </w:p>
                      <w:p w:rsid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עורך דין;</w:t>
                        </w:r>
                      </w:p>
                      <w:p w:rsid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ראש רשות מקומית;</w:t>
                        </w:r>
                      </w:p>
                      <w:p w:rsid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אדם אחר שהוסמך לכך על ידי שר המשפטים.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F77CB" w:rsidRPr="003F77CB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 .לענין סעיף 120 לפקודת החוק הפלילי/ 1936/ דין הצהרה שנעשתה לפי</w:t>
                        </w:r>
                      </w:p>
                      <w:p w:rsid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37 כדין הצהרה בשבועה.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3F77CB" w:rsidRDefault="003F77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הדין</w:t>
                        </w:r>
                      </w:p>
                      <w:p w:rsidR="003F77CB" w:rsidRPr="003F77CB" w:rsidRDefault="003F77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חפלילי</w:t>
                        </w:r>
                      </w:p>
                    </w:tc>
                  </w:tr>
                  <w:tr w:rsidR="003F77CB" w:rsidRPr="003F77CB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3F77CB" w:rsidRDefault="003F77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 (.א) הוראות סעיף 37 אינן גורעות מכוחו של בית המשפט לצוות כי</w:t>
                        </w:r>
                      </w:p>
                      <w:p w:rsid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המצהיר ייחקר בבית המשפט' ובית המשפט ייעתר לבקשתו של בעל דין</w:t>
                        </w:r>
                      </w:p>
                      <w:p w:rsid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 כך; לא התייצב המצהיר' רשאי בית המשפט לפסול הצהרתו</w:t>
                        </w:r>
                      </w:p>
                      <w:p w:rsid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מלשמש ראיה.</w:t>
                        </w:r>
                      </w:p>
                      <w:p w:rsid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נתברר לבית המשפט שבקשתו של בעל דין לחקור מצהיר בבית</w:t>
                        </w:r>
                      </w:p>
                      <w:p w:rsid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באה לשם קינטור או מתוך קלות דעת, רשאי הוא להטיל על</w:t>
                        </w:r>
                      </w:p>
                      <w:p w:rsidR="003F77CB" w:rsidRP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את הוצאות החקירה.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3F77CB" w:rsidRPr="003F77CB" w:rsidRDefault="003F77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 בעל פה</w:t>
                        </w:r>
                      </w:p>
                    </w:tc>
                  </w:tr>
                  <w:tr w:rsidR="003F77CB" w:rsidRPr="003F77CB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3F77CB" w:rsidRDefault="003F77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 שר המשפטים רשאי לקבוע' בתקנות/ את שיעור השכר שיגבה עורך דין</w:t>
                        </w:r>
                      </w:p>
                      <w:p w:rsid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שירותיו לפי סעיף 37 ואת האגרות שיש לשלם בעד אישור לפי סעיף 37</w:t>
                        </w:r>
                      </w:p>
                      <w:p w:rsidR="003F77CB" w:rsidRPr="003F77CB" w:rsidRDefault="003F77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על ידי עורך דין.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3F77CB" w:rsidRPr="003F77CB" w:rsidRDefault="003F77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</w:t>
                        </w:r>
                      </w:p>
                    </w:tc>
                  </w:tr>
                </w:tbl>
                <w:p w:rsidR="003F77CB" w:rsidRDefault="003F77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340F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D3A544-5307-436F-A482-121251F61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340F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F77C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2008-04-06T18:57:00Z</dcterms:created>
  <dcterms:modified xsi:type="dcterms:W3CDTF">2008-04-06T18:57:00Z</dcterms:modified>
</cp:coreProperties>
</file>