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659FE" w:rsidRDefault="002659FE">
      <w:pPr>
        <w:rPr>
          <w:rtl/>
        </w:rPr>
      </w:pPr>
    </w:p>
    <w:p w:rsidR="002659F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67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8673" inset="0,0,0,0">
              <w:txbxContent>
                <w:p w:rsidR="000476E5" w:rsidRDefault="000476E5">
                  <w:r>
                    <w:rPr>
                      <w:rtl/>
                    </w:rPr>
                    <w:t>46                                           ספר החוקים 496                  י"א בניסן התשכ"ז 21.04.1967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74" o:spid="_x0000_s1026" type="#_x0000_t202" style="position:absolute;left:0;text-align:left;margin-left:80.9pt;margin-top:681.25pt;width:383.55pt;height:58.2pt;z-index:3;mso-wrap-style:none;mso-position-horizontal-relative:page;mso-position-vertical-relative:page" stroked="f">
            <v:textbox style="mso-next-textbox:#_x0000_s18674" inset="0,0,0,0">
              <w:txbxContent>
                <w:p w:rsidR="000476E5" w:rsidRDefault="000476E5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בניסן תשכ"ז (12 באפריל 1967); הצעת החוק ודברי הסבר פורסמו בה''ח 632, תשכ"ה,</w:t>
                  </w:r>
                </w:p>
                <w:p w:rsidR="000476E5" w:rsidRPr="002659FE" w:rsidRDefault="000476E5">
                  <w:pPr>
                    <w:pStyle w:val="OCRStyle1"/>
                    <w:ind w:left="335"/>
                  </w:pPr>
                  <w:r>
                    <w:rPr>
                      <w:rtl/>
                    </w:rPr>
                    <w:t>עמ' 71.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75" o:spid="_x0000_s1027" type="#_x0000_t202" style="position:absolute;left:0;text-align:left;margin-left:78.35pt;margin-top:107.45pt;width:474.2pt;height:569.85pt;z-index:2;mso-wrap-style:none;mso-position-horizontal-relative:page;mso-position-vertical-relative:page" stroked="f">
            <v:textbox style="mso-next-textbox:#_x0000_s18675" inset="0,0,0,0">
              <w:txbxContent>
                <w:tbl>
                  <w:tblPr>
                    <w:tblW w:w="505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25"/>
                    <w:gridCol w:w="1297"/>
                  </w:tblGrid>
                  <w:tr w:rsidR="000476E5" w:rsidRPr="002659FE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0476E5" w:rsidRDefault="000476E5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(א) ערבות היא התחייבותו של אדם לקיים חיובו של אדם אחד כלפי אדם שלישי.</w:t>
                        </w:r>
                      </w:p>
                      <w:p w:rsidR="000476E5" w:rsidRDefault="000476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הערבות יכול שתהיה לחיוב כולו או מקצתו, קיים או עתיד לבוא, מתחדש או</w:t>
                        </w:r>
                      </w:p>
                      <w:p w:rsidR="000476E5" w:rsidRPr="002659FE" w:rsidRDefault="000476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מותנה, קצוב או בלתי קצוב.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0476E5" w:rsidRPr="002659FE" w:rsidRDefault="000476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 הערבות</w:t>
                        </w:r>
                      </w:p>
                    </w:tc>
                  </w:tr>
                  <w:tr w:rsidR="000476E5" w:rsidRPr="002659FE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0476E5" w:rsidRPr="002659FE" w:rsidRDefault="000476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אין ערבות אלא לחיוב בר-תוקף.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0476E5" w:rsidRPr="002659FE" w:rsidRDefault="000476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לערבות</w:t>
                        </w:r>
                      </w:p>
                    </w:tc>
                  </w:tr>
                  <w:tr w:rsidR="000476E5" w:rsidRPr="002659FE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0476E5" w:rsidRDefault="000476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הערבות נוצרת בהסכם בין הערב לבין הנושה או בהתחייבותו של הערב שהודעה</w:t>
                        </w:r>
                      </w:p>
                      <w:p w:rsidR="000476E5" w:rsidRDefault="000476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ניתנה לנושה: ואם היתה הערבות על פי צו של רשות - משנמסר כתב הערבות</w:t>
                        </w:r>
                      </w:p>
                      <w:p w:rsidR="000476E5" w:rsidRPr="002659FE" w:rsidRDefault="000476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0476E5" w:rsidRPr="002659FE" w:rsidRDefault="000476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יצירת הערבות</w:t>
                        </w:r>
                      </w:p>
                    </w:tc>
                  </w:tr>
                  <w:tr w:rsidR="000476E5" w:rsidRPr="002659FE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0476E5" w:rsidRDefault="000476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אין הערב חב ביותר מחיובו של החייב ולא בחמור ממנו.</w:t>
                        </w:r>
                      </w:p>
                      <w:p w:rsidR="000476E5" w:rsidRDefault="000476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הערב חב גם בריבית, בהוצאות ובדמי נזק שנתחייב בהם החייב בשל החיוב</w:t>
                        </w:r>
                      </w:p>
                      <w:p w:rsidR="000476E5" w:rsidRDefault="000476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הנערב, ודינם של כל אלה כדין החיוב הנערב; והוא כשאין כוונה אחרת משתמעת מן</w:t>
                        </w:r>
                      </w:p>
                      <w:p w:rsidR="000476E5" w:rsidRDefault="000476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הערבות.</w:t>
                        </w:r>
                      </w:p>
                      <w:p w:rsidR="000476E5" w:rsidRPr="002659FE" w:rsidRDefault="000476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היה היקף הערבות מוגבל, אין הערב חב אלא בתחום ערבותו.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0476E5" w:rsidRDefault="000476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תחומה של</w:t>
                        </w:r>
                      </w:p>
                      <w:p w:rsidR="000476E5" w:rsidRPr="002659FE" w:rsidRDefault="000476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הערבות</w:t>
                        </w:r>
                      </w:p>
                    </w:tc>
                  </w:tr>
                  <w:tr w:rsidR="000476E5" w:rsidRPr="002659FE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0476E5" w:rsidRDefault="000476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הוקטן החיוב הנערב, על פי הסכם בין החייב לבין הנושה או על פי ויתור של</w:t>
                        </w:r>
                      </w:p>
                      <w:p w:rsidR="000476E5" w:rsidRDefault="000476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הנושה, מופטר הערב במידה שהופטר החייב.</w:t>
                        </w:r>
                      </w:p>
                      <w:p w:rsidR="000476E5" w:rsidRDefault="000476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הוגדל החיוב הנערב, על פי הסכם בין החייב לבין הנושה, אין הדבר משנה</w:t>
                        </w:r>
                      </w:p>
                      <w:p w:rsidR="000476E5" w:rsidRDefault="000476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בחיובו של הערב.</w:t>
                        </w:r>
                      </w:p>
                      <w:p w:rsidR="000476E5" w:rsidRDefault="000476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חל בחיוב הנערב שינוי אחר, על פי הסכם בין החייב לבין הנושה, משתנה</w:t>
                        </w:r>
                      </w:p>
                      <w:p w:rsidR="000476E5" w:rsidRDefault="000476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חיובו של הערב לפי השינוי, אולם הברירה בידי הערב -</w:t>
                        </w:r>
                      </w:p>
                      <w:p w:rsidR="000476E5" w:rsidRDefault="000476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למלא ערבותו ללא שינוי, אם ניתן לעשות כן:</w:t>
                        </w:r>
                      </w:p>
                      <w:p w:rsidR="000476E5" w:rsidRPr="002659FE" w:rsidRDefault="000476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לבטל ערבותו אם השינוי היה שינוי יסודי הפוגע בזכויות הערב.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0476E5" w:rsidRPr="002659FE" w:rsidRDefault="000476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בחיוב</w:t>
                        </w:r>
                      </w:p>
                    </w:tc>
                  </w:tr>
                  <w:tr w:rsidR="000476E5" w:rsidRPr="002659FE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0476E5" w:rsidRDefault="000476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גרם הנושה לאי-מילוי החיוב הנערב, מופטר הערב.</w:t>
                        </w:r>
                      </w:p>
                      <w:p w:rsidR="000476E5" w:rsidRDefault="000476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גרם הנושה לפקיעת ערובה שניתנה להבטחת החיוב הנערב ונגרם על ידי כך</w:t>
                        </w:r>
                      </w:p>
                      <w:p w:rsidR="000476E5" w:rsidRPr="002659FE" w:rsidRDefault="000476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לערב נזק, מופטר הערב כדי סכום הנזק.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0476E5" w:rsidRPr="002659FE" w:rsidRDefault="000476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הפטר הערב</w:t>
                        </w:r>
                      </w:p>
                    </w:tc>
                  </w:tr>
                  <w:tr w:rsidR="000476E5" w:rsidRPr="002659FE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0476E5" w:rsidRDefault="000476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כל טענה שיש לחייב כלפי הנושה בקשר לחיובו עומדת גם לערב.</w:t>
                        </w:r>
                      </w:p>
                      <w:p w:rsidR="000476E5" w:rsidRDefault="000476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התיישנה התביעה נגד החייב, מתיישנת גם התביעה נגד הערב, אם לא התיישבה</w:t>
                        </w:r>
                      </w:p>
                      <w:p w:rsidR="000476E5" w:rsidRPr="002659FE" w:rsidRDefault="000476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כן.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0476E5" w:rsidRPr="002659FE" w:rsidRDefault="000476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טענות הגנה</w:t>
                        </w:r>
                      </w:p>
                    </w:tc>
                  </w:tr>
                  <w:tr w:rsidR="000476E5" w:rsidRPr="002659FE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0476E5" w:rsidRDefault="000476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הערב והחייב אחראים כלפי הנושה יחד ולחוד, אולם אין הנושה רשאי לדרוש מן</w:t>
                        </w:r>
                      </w:p>
                      <w:p w:rsidR="000476E5" w:rsidRDefault="000476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הערב מילוי ערבותו בלי שדרש תחילה מן החייב קיום חיובו, אלא באחת הנסיבות האלה;</w:t>
                        </w:r>
                      </w:p>
                      <w:p w:rsidR="000476E5" w:rsidRDefault="000476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הערב ויתר על הדרישה מן החייב:</w:t>
                        </w:r>
                      </w:p>
                      <w:p w:rsidR="000476E5" w:rsidRDefault="000476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ניתן נגד החייב צו קבלת נכסים או צו פירוק:</w:t>
                        </w:r>
                      </w:p>
                      <w:p w:rsidR="000476E5" w:rsidRDefault="000476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החייב מת או נמצא מחוץ לישראל או שמתן הדרישה כרוך כקשיים</w:t>
                        </w:r>
                      </w:p>
                      <w:p w:rsidR="000476E5" w:rsidRPr="002659FE" w:rsidRDefault="000476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מיוחדים.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0476E5" w:rsidRPr="002659FE" w:rsidRDefault="000476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תערב</w:t>
                        </w:r>
                      </w:p>
                    </w:tc>
                  </w:tr>
                </w:tbl>
                <w:p w:rsidR="000476E5" w:rsidRDefault="000476E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676" o:spid="_x0000_s1028" type="#_x0000_t202" style="position:absolute;left:0;text-align:left;margin-left:207.25pt;margin-top:66.65pt;width:162.35pt;height:30.7pt;z-index:1;mso-wrap-style:none;mso-position-horizontal-relative:page;mso-position-vertical-relative:page" stroked="f">
            <v:textbox style="mso-next-textbox:#_x0000_s18676" inset="0,0,0,0">
              <w:txbxContent>
                <w:p w:rsidR="000476E5" w:rsidRPr="002659FE" w:rsidRDefault="000476E5">
                  <w:pPr>
                    <w:pStyle w:val="OCRStyle1"/>
                    <w:ind w:left="11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הערבות, תשכ"ז-1967 *</w:t>
                  </w:r>
                </w:p>
              </w:txbxContent>
            </v:textbox>
            <w10:wrap anchorx="page" anchory="page"/>
          </v:shape>
        </w:pict>
      </w:r>
    </w:p>
    <w:p w:rsidR="007948F3" w:rsidRDefault="007948F3">
      <w:pPr>
        <w:rPr>
          <w:rtl/>
        </w:rPr>
      </w:pPr>
      <w:r>
        <w:rPr>
          <w:rtl/>
        </w:rPr>
        <w:br w:type="page"/>
      </w:r>
    </w:p>
    <w:p w:rsidR="007948F3" w:rsidRDefault="00000000">
      <w:pPr>
        <w:rPr>
          <w:rtl/>
        </w:rPr>
      </w:pPr>
      <w:r>
        <w:pict>
          <v:shape id="_x0000_s18677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8677" inset="0,0,0,0">
              <w:txbxContent>
                <w:p w:rsidR="000476E5" w:rsidRDefault="000476E5">
                  <w:r>
                    <w:rPr>
                      <w:rtl/>
                    </w:rPr>
                    <w:t>47                                           ספר החוקים 496                  י"א בניסן התשכ"ז 21.04.1967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78" o:spid="_x0000_s1030" type="#_x0000_t202" style="position:absolute;left:0;text-align:left;margin-left:373.9pt;margin-top:693.6pt;width:181.35pt;height:53.25pt;z-index:6;mso-wrap-style:none;mso-position-horizontal-relative:page;mso-position-vertical-relative:page" stroked="f">
            <v:textbox style="mso-next-textbox:#_x0000_s18678" inset="0,0,0,0">
              <w:txbxContent>
                <w:p w:rsidR="000476E5" w:rsidRPr="007948F3" w:rsidRDefault="000476E5">
                  <w:pPr>
                    <w:pStyle w:val="OCRStyle2"/>
                    <w:ind w:left="425"/>
                  </w:pPr>
                  <w:r>
                    <w:rPr>
                      <w:rtl/>
                    </w:rPr>
                    <w:t>1 ס"ח  348, תשכ"א, עמי 192.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79" o:spid="_x0000_s1031" type="#_x0000_t202" style="position:absolute;left:0;text-align:left;margin-left:89.4pt;margin-top:70.3pt;width:462.75pt;height:622.1pt;z-index:5;mso-wrap-style:none;mso-position-horizontal-relative:page;mso-position-vertical-relative:page" stroked="f">
            <v:textbox style="mso-next-textbox:#_x0000_s18679" inset="0,0,0,0">
              <w:txbxContent>
                <w:tbl>
                  <w:tblPr>
                    <w:tblW w:w="49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0"/>
                    <w:gridCol w:w="7024"/>
                  </w:tblGrid>
                  <w:tr w:rsidR="000476E5" w:rsidRPr="007948F3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0476E5" w:rsidRDefault="000476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הערב</w:t>
                        </w:r>
                      </w:p>
                      <w:p w:rsidR="000476E5" w:rsidRPr="007948F3" w:rsidRDefault="000476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לחזור על החייב</w:t>
                        </w:r>
                      </w:p>
                    </w:tc>
                    <w:tc>
                      <w:tcPr>
                        <w:tcW w:w="4174" w:type="pct"/>
                      </w:tcPr>
                      <w:p w:rsidR="000476E5" w:rsidRDefault="000476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זולת אם ניתנה הערבות שלא בהסכמת החייב, זכאי הערב לחזור על החייב ולהיפרע</w:t>
                        </w:r>
                      </w:p>
                      <w:p w:rsidR="000476E5" w:rsidRDefault="000476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 מה שבתן למילוי ערבותו, בתוספת הוצאות סבירות שהוציא לרגל הערבות וריבית</w:t>
                        </w:r>
                      </w:p>
                      <w:p w:rsidR="000476E5" w:rsidRDefault="000476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המלא לפי חוק פסיקת ריבית, תשכ"א~1961,  1 מיום מילוי הערבות או מיום</w:t>
                        </w:r>
                      </w:p>
                      <w:p w:rsidR="000476E5" w:rsidRPr="007948F3" w:rsidRDefault="000476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ההוצאות.</w:t>
                        </w:r>
                      </w:p>
                    </w:tc>
                  </w:tr>
                  <w:tr w:rsidR="000476E5" w:rsidRPr="007948F3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0476E5" w:rsidRDefault="000476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טייג לזכות הערב</w:t>
                        </w:r>
                      </w:p>
                      <w:p w:rsidR="000476E5" w:rsidRPr="007948F3" w:rsidRDefault="000476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לחזור טל החייב</w:t>
                        </w:r>
                      </w:p>
                    </w:tc>
                    <w:tc>
                      <w:tcPr>
                        <w:tcW w:w="4174" w:type="pct"/>
                      </w:tcPr>
                      <w:p w:rsidR="000476E5" w:rsidRDefault="000476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הערב לא יהיה זכאי לחזור על החייב במידה שהוא היה עשוי להיות מופטר</w:t>
                        </w:r>
                      </w:p>
                      <w:p w:rsidR="000476E5" w:rsidRDefault="000476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טענה שעמדה לחייב כלפי הנושה בקשר לחיובו והטענה היתה ידועה לערב ולא</w:t>
                        </w:r>
                      </w:p>
                      <w:p w:rsidR="000476E5" w:rsidRDefault="000476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התגונן בה; ובלבד שזכות הערב לחזור על החייב אינה נפגעת אם עשה כאמור בסעיף</w:t>
                        </w:r>
                      </w:p>
                      <w:p w:rsidR="000476E5" w:rsidRDefault="000476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(ג) (1).</w:t>
                        </w:r>
                      </w:p>
                      <w:p w:rsidR="000476E5" w:rsidRDefault="000476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לא יחולו אם הערב מילא את ערבותו לאחר ששלח</w:t>
                        </w:r>
                      </w:p>
                      <w:p w:rsidR="000476E5" w:rsidRPr="007948F3" w:rsidRDefault="000476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לחייב הודעה על כוונתו לעשות כן ונתן לו זמן סביר לפנות לבית המשפט.</w:t>
                        </w:r>
                      </w:p>
                    </w:tc>
                  </w:tr>
                  <w:tr w:rsidR="000476E5" w:rsidRPr="007948F3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0476E5" w:rsidRDefault="000476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הערב לפגי</w:t>
                        </w:r>
                      </w:p>
                      <w:p w:rsidR="000476E5" w:rsidRPr="007948F3" w:rsidRDefault="000476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שמילא ערבותו</w:t>
                        </w:r>
                      </w:p>
                    </w:tc>
                    <w:tc>
                      <w:tcPr>
                        <w:tcW w:w="4174" w:type="pct"/>
                      </w:tcPr>
                      <w:p w:rsidR="000476E5" w:rsidRDefault="000476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 לערב יהיו, לפני שמילא ערבותו, אותם הסעדים להבטחת זכותו לחזור על החייב</w:t>
                        </w:r>
                      </w:p>
                      <w:p w:rsidR="000476E5" w:rsidRPr="007948F3" w:rsidRDefault="000476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הנתונים לנושה להבטחת חוב שטרם הגיע זמן פרעונו.</w:t>
                        </w:r>
                      </w:p>
                    </w:tc>
                  </w:tr>
                  <w:tr w:rsidR="000476E5" w:rsidRPr="007948F3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0476E5" w:rsidRDefault="000476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שעבוד נכס של</w:t>
                        </w:r>
                      </w:p>
                      <w:p w:rsidR="000476E5" w:rsidRPr="007948F3" w:rsidRDefault="000476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</w:t>
                        </w:r>
                      </w:p>
                    </w:tc>
                    <w:tc>
                      <w:tcPr>
                        <w:tcW w:w="4174" w:type="pct"/>
                      </w:tcPr>
                      <w:p w:rsidR="000476E5" w:rsidRDefault="000476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היה החיוב הנערב מובטח גם בשעבוד נכס של החייב, יעבור השעבוד לזכות הערב,</w:t>
                        </w:r>
                      </w:p>
                      <w:p w:rsidR="000476E5" w:rsidRDefault="000476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שמילא ערבותו, להבטחת זכותו לחזור על החייב, ועל נותן השעבוד והנושה לעשות,</w:t>
                        </w:r>
                      </w:p>
                      <w:p w:rsidR="000476E5" w:rsidRDefault="000476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דרישת הערב, את הפעולות הדרושות כדי שכוחה של ההעברה יהיה יפה-לכל דבר:</w:t>
                        </w:r>
                      </w:p>
                      <w:p w:rsidR="000476E5" w:rsidRPr="007948F3" w:rsidRDefault="000476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והכל במידה שאין הדבר פוגע בזכויות הנושה.</w:t>
                        </w:r>
                      </w:p>
                    </w:tc>
                  </w:tr>
                  <w:tr w:rsidR="000476E5" w:rsidRPr="007948F3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0476E5" w:rsidRPr="007948F3" w:rsidRDefault="000476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ריבוי ערבים</w:t>
                        </w:r>
                      </w:p>
                    </w:tc>
                    <w:tc>
                      <w:tcPr>
                        <w:tcW w:w="4174" w:type="pct"/>
                      </w:tcPr>
                      <w:p w:rsidR="000476E5" w:rsidRDefault="000476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שנים או יותר שערבו חיוב אחד, אם במאוחד ואם בנפרד, יהיו אחראים יחד ולחוד;</w:t>
                        </w:r>
                      </w:p>
                      <w:p w:rsidR="000476E5" w:rsidRDefault="000476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היה היקף הערבויות שונה, יהיו אחראים כאמור בתחום הערנות המשותפת; והכל</w:t>
                        </w:r>
                      </w:p>
                      <w:p w:rsidR="000476E5" w:rsidRPr="007948F3" w:rsidRDefault="000476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כשאין כוונה אחרת משתמעת מן הערבויות.</w:t>
                        </w:r>
                      </w:p>
                    </w:tc>
                  </w:tr>
                  <w:tr w:rsidR="000476E5" w:rsidRPr="007948F3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0476E5" w:rsidRDefault="000476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סרב בעד</w:t>
                        </w:r>
                      </w:p>
                      <w:p w:rsidR="000476E5" w:rsidRPr="007948F3" w:rsidRDefault="000476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</w:t>
                        </w:r>
                      </w:p>
                    </w:tc>
                    <w:tc>
                      <w:tcPr>
                        <w:tcW w:w="4174" w:type="pct"/>
                      </w:tcPr>
                      <w:p w:rsidR="000476E5" w:rsidRDefault="000476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נתן אדם לנושה התחייבות למילוי ערבותו של ערב, יהא דין ערבותו של הערב כלפי</w:t>
                        </w:r>
                      </w:p>
                      <w:p w:rsidR="000476E5" w:rsidRDefault="000476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הנושה כדין חיוב בערב הן לענין היחסים בין אותו אדם לבין הנושה והן לענין היחסים ביבו</w:t>
                        </w:r>
                      </w:p>
                      <w:p w:rsidR="000476E5" w:rsidRPr="007948F3" w:rsidRDefault="000476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לבין הערב.</w:t>
                        </w:r>
                      </w:p>
                    </w:tc>
                  </w:tr>
                  <w:tr w:rsidR="000476E5" w:rsidRPr="007948F3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0476E5" w:rsidRDefault="000476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ערבות</w:t>
                        </w:r>
                      </w:p>
                      <w:p w:rsidR="000476E5" w:rsidRDefault="000476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לחיוב עתיד</w:t>
                        </w:r>
                      </w:p>
                      <w:p w:rsidR="000476E5" w:rsidRPr="007948F3" w:rsidRDefault="000476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לבוא</w:t>
                        </w:r>
                      </w:p>
                    </w:tc>
                    <w:tc>
                      <w:tcPr>
                        <w:tcW w:w="4174" w:type="pct"/>
                      </w:tcPr>
                      <w:p w:rsidR="000476E5" w:rsidRDefault="000476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ביתנה ערבות לחיוב עתיד לבוא רשאי הערב, כל עוד לא בוצר החיוב הנערב,</w:t>
                        </w:r>
                      </w:p>
                      <w:p w:rsidR="000476E5" w:rsidRDefault="000476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לבטל ערבותו על ידי מתן הודעה בכתב לנושה, אולם עליו לפצות את הבושה בעד הבזק</w:t>
                        </w:r>
                      </w:p>
                      <w:p w:rsidR="000476E5" w:rsidRDefault="000476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שבגרם לו עקב הביטול.</w:t>
                        </w:r>
                      </w:p>
                      <w:p w:rsidR="000476E5" w:rsidRDefault="000476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ניתנה ערבות כאמור בהסכמת החייב וביטל הערב ערבותו בלי שבתן לחייב</w:t>
                        </w:r>
                      </w:p>
                      <w:p w:rsidR="000476E5" w:rsidRDefault="000476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כך זמן סביר מראש, על הערב לפצות את החייב בעד הבזק שבגרם לו עקב אי-</w:t>
                        </w:r>
                      </w:p>
                      <w:p w:rsidR="000476E5" w:rsidRPr="007948F3" w:rsidRDefault="000476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ההודעה.</w:t>
                        </w:r>
                      </w:p>
                    </w:tc>
                  </w:tr>
                  <w:tr w:rsidR="000476E5" w:rsidRPr="007948F3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0476E5" w:rsidRPr="007948F3" w:rsidRDefault="000476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התחייבות לשיפוי</w:t>
                        </w:r>
                      </w:p>
                    </w:tc>
                    <w:tc>
                      <w:tcPr>
                        <w:tcW w:w="4174" w:type="pct"/>
                      </w:tcPr>
                      <w:p w:rsidR="000476E5" w:rsidRDefault="000476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התחייבות של אדם לשפות בושה בשל אי-קיומ חיובו של חייב כלפי הנושה, כשההת-</w:t>
                        </w:r>
                      </w:p>
                      <w:p w:rsidR="000476E5" w:rsidRDefault="000476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חייבות איבה בבחיבת ערבות, יחולו עליה סעיפים 11,9,3 ו-12, בשינויים המחוייבים לפי</w:t>
                        </w:r>
                      </w:p>
                      <w:p w:rsidR="000476E5" w:rsidRPr="007948F3" w:rsidRDefault="000476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הענין.</w:t>
                        </w:r>
                      </w:p>
                    </w:tc>
                  </w:tr>
                  <w:tr w:rsidR="000476E5" w:rsidRPr="007948F3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0476E5" w:rsidRDefault="000476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ערבות או</w:t>
                        </w:r>
                      </w:p>
                      <w:p w:rsidR="000476E5" w:rsidRDefault="000476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התחייבות</w:t>
                        </w:r>
                      </w:p>
                      <w:p w:rsidR="000476E5" w:rsidRDefault="000476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לשיפוי בשל חיוב</w:t>
                        </w:r>
                      </w:p>
                      <w:p w:rsidR="000476E5" w:rsidRPr="007948F3" w:rsidRDefault="000476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פגום</w:t>
                        </w:r>
                      </w:p>
                    </w:tc>
                    <w:tc>
                      <w:tcPr>
                        <w:tcW w:w="4174" w:type="pct"/>
                      </w:tcPr>
                      <w:p w:rsidR="000476E5" w:rsidRDefault="000476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ערבות לחיוב שתקפו פגום רק מבחיבת כשרותו או ייצוגו של החייב יראוה כהתחייבות</w:t>
                        </w:r>
                      </w:p>
                      <w:p w:rsidR="000476E5" w:rsidRPr="007948F3" w:rsidRDefault="000476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לשיפוי; על התחייבות לשיפוי בשל אי-קיום חיוב כאמור לא יחולו סעיפים 11.9 ו-.12</w:t>
                        </w:r>
                      </w:p>
                    </w:tc>
                  </w:tr>
                  <w:tr w:rsidR="000476E5" w:rsidRPr="007948F3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0476E5" w:rsidRPr="007948F3" w:rsidRDefault="000476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174" w:type="pct"/>
                      </w:tcPr>
                      <w:p w:rsidR="000476E5" w:rsidRDefault="000476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הוראות חוק זה יחולו כשאין בדין אחר הוראות מיוחדות לענין הנדון, ובאין כוונה</w:t>
                        </w:r>
                      </w:p>
                      <w:p w:rsidR="000476E5" w:rsidRPr="007948F3" w:rsidRDefault="000476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משתמעת מן ההסכם בין הצדדים.</w:t>
                        </w:r>
                      </w:p>
                    </w:tc>
                  </w:tr>
                </w:tbl>
                <w:p w:rsidR="000476E5" w:rsidRDefault="000476E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0476E5" w:rsidRDefault="000476E5">
      <w:pPr>
        <w:rPr>
          <w:rtl/>
        </w:rPr>
      </w:pPr>
      <w:r>
        <w:rPr>
          <w:rtl/>
        </w:rPr>
        <w:br w:type="page"/>
      </w:r>
    </w:p>
    <w:p w:rsidR="000476E5" w:rsidRDefault="00000000">
      <w:pPr>
        <w:rPr>
          <w:rtl/>
        </w:rPr>
      </w:pPr>
      <w:r>
        <w:pict>
          <v:shape id="_x0000_s18680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8680" inset="0,0,0,0">
              <w:txbxContent>
                <w:p w:rsidR="000476E5" w:rsidRDefault="000476E5">
                  <w:r>
                    <w:rPr>
                      <w:rtl/>
                    </w:rPr>
                    <w:t>48                                           ספר החוקים 496                  י"א בניסן התשכ"ז 21.04.1967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81" o:spid="_x0000_s1033" type="#_x0000_t202" style="position:absolute;left:0;text-align:left;margin-left:101.3pt;margin-top:128.8pt;width:111.45pt;height:36.45pt;z-index:11;mso-wrap-style:none;mso-position-horizontal-relative:page;mso-position-vertical-relative:page" stroked="f">
            <v:textbox style="mso-next-textbox:#_x0000_s18681" inset="0,0,0,0">
              <w:txbxContent>
                <w:p w:rsidR="000476E5" w:rsidRDefault="000476E5">
                  <w:pPr>
                    <w:pStyle w:val="OCRStyle3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יעקב שי שפירא</w:t>
                  </w:r>
                </w:p>
                <w:p w:rsidR="000476E5" w:rsidRDefault="000476E5">
                  <w:pPr>
                    <w:pStyle w:val="OCRStyle3"/>
                    <w:ind w:left="48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82" o:spid="_x0000_s1034" type="#_x0000_t202" style="position:absolute;left:0;text-align:left;margin-left:226.45pt;margin-top:126.65pt;width:95.85pt;height:39.6pt;z-index:10;mso-wrap-style:none;mso-position-horizontal-relative:page;mso-position-vertical-relative:page" stroked="f">
            <v:textbox style="mso-next-textbox:#_x0000_s18682" inset="0,0,0,0">
              <w:txbxContent>
                <w:p w:rsidR="000476E5" w:rsidRDefault="000476E5">
                  <w:pPr>
                    <w:pStyle w:val="OCRStyle3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0476E5" w:rsidRDefault="000476E5">
                  <w:pPr>
                    <w:pStyle w:val="OCRStyle3"/>
                    <w:ind w:left="23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83" o:spid="_x0000_s1035" type="#_x0000_t202" style="position:absolute;left:0;text-align:left;margin-left:357.75pt;margin-top:158.9pt;width:124.95pt;height:36.65pt;z-index:9;mso-wrap-style:none;mso-position-horizontal-relative:page;mso-position-vertical-relative:page" stroked="f">
            <v:textbox style="mso-next-textbox:#_x0000_s18683" inset="0,0,0,0">
              <w:txbxContent>
                <w:p w:rsidR="000476E5" w:rsidRDefault="000476E5">
                  <w:pPr>
                    <w:pStyle w:val="OCRStyle3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0476E5" w:rsidRDefault="000476E5">
                  <w:pPr>
                    <w:pStyle w:val="OCRStyle3"/>
                    <w:ind w:left="68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84" o:spid="_x0000_s1036" type="#_x0000_t202" style="position:absolute;left:0;text-align:left;margin-left:86.65pt;margin-top:50.6pt;width:470.05pt;height:69.9pt;z-index:8;mso-wrap-style:none;mso-position-horizontal-relative:page;mso-position-vertical-relative:page" stroked="f">
            <v:textbox style="mso-next-textbox:#_x0000_s18684" inset="0,0,0,0">
              <w:txbxContent>
                <w:tbl>
                  <w:tblPr>
                    <w:tblW w:w="50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8"/>
                    <w:gridCol w:w="1289"/>
                  </w:tblGrid>
                  <w:tr w:rsidR="000476E5" w:rsidRPr="000476E5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0476E5" w:rsidRDefault="000476E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19, הספר השלישי של המג'לה, חוץ מסעיפים 656 ו-658 - בטל.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0476E5" w:rsidRPr="000476E5" w:rsidRDefault="000476E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</w:tr>
                  <w:tr w:rsidR="000476E5" w:rsidRPr="000476E5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0476E5" w:rsidRDefault="000476E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תחילתו של חוק זה ביום כ"ו באלול תשכ"ז (1 באוקטובר 1967); על ערבויות והתחיי-</w:t>
                        </w:r>
                      </w:p>
                      <w:p w:rsidR="000476E5" w:rsidRPr="000476E5" w:rsidRDefault="000476E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בויות לשיפוי שניתנו לפני תחילת חוק זה יוסיף לחול הדין הקודם.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0476E5" w:rsidRDefault="000476E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 והוראת</w:t>
                        </w:r>
                      </w:p>
                      <w:p w:rsidR="000476E5" w:rsidRPr="000476E5" w:rsidRDefault="000476E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מעבר</w:t>
                        </w:r>
                      </w:p>
                    </w:tc>
                  </w:tr>
                </w:tbl>
                <w:p w:rsidR="000476E5" w:rsidRDefault="000476E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659F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59F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A62A071-F15E-4225-9D2D-4AFAD7CB9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659F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948F3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0476E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2008-04-09T13:57:00Z</dcterms:created>
  <dcterms:modified xsi:type="dcterms:W3CDTF">2008-04-09T13:57:00Z</dcterms:modified>
</cp:coreProperties>
</file>