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40E4" w:rsidRDefault="000240E4">
      <w:pPr>
        <w:rPr>
          <w:rtl/>
        </w:rPr>
      </w:pPr>
    </w:p>
    <w:p w:rsidR="000240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9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941" inset="0,0,0,0">
              <w:txbxContent>
                <w:p w:rsidR="00F312D5" w:rsidRDefault="00F312D5">
                  <w:r>
                    <w:rPr>
                      <w:rtl/>
                    </w:rPr>
                    <w:t>58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42" o:spid="_x0000_s1026" type="#_x0000_t202" style="position:absolute;left:0;text-align:left;margin-left:66.95pt;margin-top:727.5pt;width:428.1pt;height:87.1pt;z-index:6;mso-position-horizontal-relative:page;mso-position-vertical-relative:page" stroked="f">
            <v:textbox style="mso-next-textbox:#_x0000_s18942" inset="0,0,0,0">
              <w:txbxContent>
                <w:p w:rsidR="00F312D5" w:rsidRDefault="00F312D5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א' תשי"ז (18 בפברואר 1957); הצעת החוק ודברי הסבר נתפרסמו</w:t>
                  </w:r>
                </w:p>
                <w:p w:rsidR="00F312D5" w:rsidRPr="000240E4" w:rsidRDefault="00F312D5">
                  <w:pPr>
                    <w:pStyle w:val="OCRStyle1"/>
                    <w:ind w:left="7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625, תשט"ז, עט'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43" o:spid="_x0000_s1027" type="#_x0000_t202" style="position:absolute;left:0;text-align:left;margin-left:74.25pt;margin-top:444.35pt;width:499.55pt;height:274.05pt;z-index:5;mso-position-horizontal-relative:page;mso-position-vertical-relative:page" stroked="f">
            <v:textbox style="mso-next-textbox:#_x0000_s1894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7"/>
                    <w:gridCol w:w="1486"/>
                  </w:tblGrid>
                  <w:tr w:rsidR="00F312D5" w:rsidRPr="000240E4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5. צד בסכסוך עבודה רשאי להודיע על הסכסוך לממונה הראשי; תוכן ההודעה, צורתה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ודרך מסירתה יקבע שר העבודה בתקנות.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הודעות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סכסוך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</w:tr>
                  <w:tr w:rsidR="00F312D5" w:rsidRPr="000240E4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נמסרה הודעה לפי סעיף 5 או שנודע לממונה הראשי בדרך אחרת על סכסוך עבודה.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הממונה הראשי אם יתווך בסכסוך; החליט לחיוב - יטול לידיו את תפקיד המתווך,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שר העבודה לא נטל לידיו תפקיד זה, או יטיל את התיווך על ממונה או על מי שיתמנה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על ידי שר העבודה ליישוב אותו סכסוך עבודה.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תיווך</w:t>
                        </w:r>
                      </w:p>
                    </w:tc>
                  </w:tr>
                  <w:tr w:rsidR="00F312D5" w:rsidRPr="000240E4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 המתווך יעשה כמיטב יכלתו ליישוב הסכסוך בדרך משא ומתן, רהוא רשאי -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לקיים פגישות עם הצדדים, ביחד או בנפרד, לשמוע טענותיהם והצעותיהם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ליישוב הסכסוך ולהביא לענין זה הצעות משלו;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את הצדדים בתשובה מנומקת על טענות הצד השני ועל ההצעות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ליישוב הסכסוך;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להזדקק לחוות דעת של מומחים ושל נציגי ארגוני עובדים וארגוני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מעבידים;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לעיין במצב הכלכלי של המפעל שבו קיים הסכסוך ובספרי חשבונות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ובמסמכים אחרים העלולים לספק לו חומר לחקירתו.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המתווך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ליישוב הסבסוד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944" o:spid="_x0000_s1028" type="#_x0000_t202" style="position:absolute;left:0;text-align:left;margin-left:236.45pt;margin-top:425.15pt;width:114.65pt;height:19pt;z-index:4;mso-position-horizontal-relative:page;mso-position-vertical-relative:page" stroked="f">
            <v:textbox style="mso-next-textbox:#_x0000_s18944" inset="0,0,0,0">
              <w:txbxContent>
                <w:p w:rsidR="00F312D5" w:rsidRPr="000240E4" w:rsidRDefault="00F312D5">
                  <w:pPr>
                    <w:pStyle w:val="OCRStyle1"/>
                    <w:ind w:left="36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תיווך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45" o:spid="_x0000_s1029" type="#_x0000_t202" style="position:absolute;left:0;text-align:left;margin-left:65.95pt;margin-top:132.7pt;width:527.1pt;height:275pt;z-index:3;mso-position-horizontal-relative:page;mso-position-vertical-relative:page" stroked="f">
            <v:textbox style="mso-next-textbox:#_x0000_s18945" inset="0,0,0,0">
              <w:txbxContent>
                <w:tbl>
                  <w:tblPr>
                    <w:tblW w:w="4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8"/>
                    <w:gridCol w:w="1754"/>
                  </w:tblGrid>
                  <w:tr w:rsidR="00F312D5" w:rsidRPr="000240E4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.שר העבודה ימנה ממונה ראשי על יחסי עבודה (להלן - הממונה הראשי) וממונים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יחסי עבודה (להלן - ממונים); הודעה על מינוי תפורסם ברשומות.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ממונים על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יחסי עבורה</w:t>
                        </w:r>
                      </w:p>
                    </w:tc>
                  </w:tr>
                  <w:tr w:rsidR="00F312D5" w:rsidRPr="000240E4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לענין חוק זה סכסוך עבודה הוא סכסוך באחד הנושאים המנויים להלן שנתגלע בין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לעובדיו או לחלק מהם, או בין מעביד לארגון עובדים או בין ארגון מעבידים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לארגון עובדים, להוציא סכסוך היחיד; ואלה הנושאים: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כריתתו, חידושו, שינויו או ביטולו של הסכם קיבוצי;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תנאי עבודה;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קבלת אדם לעבודה או אי-קבלתו או סיום עבודתו;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זכויות וחובות הנובעות מיחסי עובד ומעביד.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F312D5" w:rsidRPr="000240E4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סכסוך עבודה</w:t>
                        </w:r>
                      </w:p>
                    </w:tc>
                  </w:tr>
                  <w:tr w:rsidR="00F312D5" w:rsidRPr="000240E4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 בסכסוך עבודה שבין מעביד לעובדיו או לחלק מהם, הצדדים לסכסוך הם המעביד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וארגון העובדים המייצג את רוב העובדים שהסכסוך נוגע להם, ובאין ארגון עובדים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הנציגות שנבחרה על-ידי רוב העובדים האלה בין לכל ענין ובין לסכסוך העבודה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הצדדים בטכסוך</w:t>
                        </w:r>
                      </w:p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בין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 לעובדיו</w:t>
                        </w:r>
                      </w:p>
                    </w:tc>
                  </w:tr>
                  <w:tr w:rsidR="00F312D5" w:rsidRPr="000240E4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F312D5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מעביד שהוא צד לסכסוך עבודה רשאי, בכל הנוגע לסכסוך, להיות מיוצג על-ידי</w:t>
                        </w:r>
                      </w:p>
                      <w:p w:rsidR="00F312D5" w:rsidRPr="000240E4" w:rsidRDefault="00F31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מעבידים, והאדם המוסמך לפעול בשם אותו ארגון ידו כיד המעביד.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F312D5" w:rsidRPr="000240E4" w:rsidRDefault="00F312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מעביר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946" o:spid="_x0000_s1030" type="#_x0000_t202" style="position:absolute;left:0;text-align:left;margin-left:228.1pt;margin-top:104.2pt;width:131.1pt;height:21.2pt;z-index:2;mso-position-horizontal-relative:page;mso-position-vertical-relative:page" stroked="f">
            <v:textbox style="mso-next-textbox:#_x0000_s18946" inset="0,0,0,0">
              <w:txbxContent>
                <w:p w:rsidR="00F312D5" w:rsidRPr="000240E4" w:rsidRDefault="00F312D5">
                  <w:pPr>
                    <w:pStyle w:val="OCRStyle1"/>
                    <w:ind w:left="29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47" o:spid="_x0000_s1031" type="#_x0000_t202" style="position:absolute;left:0;text-align:left;margin-left:159.4pt;margin-top:75.9pt;width:276pt;height:18.2pt;z-index:1;mso-position-horizontal-relative:page;mso-position-vertical-relative:page" stroked="f">
            <v:textbox style="mso-next-textbox:#_x0000_s18947" inset="0,0,0,0">
              <w:txbxContent>
                <w:p w:rsidR="00F312D5" w:rsidRPr="000240E4" w:rsidRDefault="00F312D5">
                  <w:pPr>
                    <w:pStyle w:val="OCRStyle1"/>
                    <w:ind w:left="353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יישוב סכסוכי  עבודה, תשי"ז-1957*</w:t>
                  </w:r>
                </w:p>
              </w:txbxContent>
            </v:textbox>
            <w10:wrap anchorx="page" anchory="page"/>
          </v:shape>
        </w:pict>
      </w:r>
    </w:p>
    <w:p w:rsidR="00730D31" w:rsidRDefault="00730D31">
      <w:pPr>
        <w:rPr>
          <w:rtl/>
        </w:rPr>
      </w:pPr>
      <w:r>
        <w:rPr>
          <w:rtl/>
        </w:rPr>
        <w:br w:type="page"/>
      </w:r>
    </w:p>
    <w:p w:rsidR="00730D31" w:rsidRDefault="00000000">
      <w:pPr>
        <w:rPr>
          <w:rtl/>
        </w:rPr>
      </w:pPr>
      <w:r>
        <w:pict>
          <v:shape id="_x0000_s1894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948" inset="0,0,0,0">
              <w:txbxContent>
                <w:p w:rsidR="00F312D5" w:rsidRDefault="00F312D5">
                  <w:r>
                    <w:rPr>
                      <w:rtl/>
                    </w:rPr>
                    <w:t>59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49" o:spid="_x0000_s1033" type="#_x0000_t202" style="position:absolute;left:0;text-align:left;margin-left:367.6pt;margin-top:783.55pt;width:200.75pt;height:23.75pt;z-index:9;mso-position-horizontal-relative:page;mso-position-vertical-relative:page" stroked="f">
            <v:textbox style="mso-next-textbox:#_x0000_s18949" inset="0,0,0,0">
              <w:txbxContent>
                <w:p w:rsidR="00F312D5" w:rsidRDefault="00F312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950" o:spid="_x0000_s1034" type="#_x0000_t202" style="position:absolute;left:0;text-align:left;margin-left:78.75pt;margin-top:57.05pt;width:496pt;height:705.65pt;z-index:8;mso-position-horizontal-relative:page;mso-position-vertical-relative:page" stroked="f">
            <v:textbox style="mso-next-textbox:#_x0000_s189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7553"/>
                  </w:tblGrid>
                  <w:tr w:rsidR="00F312D5" w:rsidRPr="00730D3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312D5" w:rsidRPr="00730D31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המחוור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(א) רשאי המתווך, במסגרת תפקידיו לפי סעיף 7 ולמטרת ביצועם -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להשיג כל עדות, בין בכתב בין בעל פה. ולחקור כל אדם, אם יש בכך, לדעתו,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עניין ליישוב הסכסוך, אך לא יידרש אדם להשיב על שאלה שעלולה להפלילו;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להזמין אדם לבוא לישיבת התיווך כדי להעיד או להגיש מסמך שברשותו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ולחקרו כעד או לדרוש מאתו הגיש מסמך שברשותו;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לדרוש מכל עד שיקיים עדותו בשבועה או בהן צדק?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ליתן צו הכופה אדם לבוא לפניו, לאחר שלא בא לפי הזמנה, ולא הצטדק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להנחת דעתו, וכן להטיל עליו את תשלום ההוצאות שנגרמו מחמת סירובו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לציית להזמנה, גם לקנוס אותו בסכום שלא למעלה ממאה לירות;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לקנוס בסכום שלא למעלה ממאה לירות כל אדם שנדרש על ידי המתווך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בשבועה, להגיש מסמך, להשיב לטענות הצד השני כאמור בסעיף 7(2)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לאפשר חקירה כאמור בסעיף 7(4), ולא עשה כנדרש ולא הצטדק על כך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המתווך.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לפי סעיף קטן (א) ייגבה בדרך שגובים קנס שהוטל על ידי בית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</w:t>
                        </w:r>
                      </w:p>
                    </w:tc>
                  </w:tr>
                  <w:tr w:rsidR="00F312D5" w:rsidRPr="00730D3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ליישוב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הסכסוך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הגיעו הצדדים להסכם בדבר יישוב סכסוך עבודה אם על דעת עצמם ואם לפי הצעת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המתווך, יערכו המתווך או הצדדים הסכם בכתב לענין זה ובו יפורטו כל התנאים שלפיהם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הסכסוך; ההסכם ייחתם בידי הצדדים ויקויים בחתימת המתווך.</w:t>
                        </w:r>
                      </w:p>
                    </w:tc>
                  </w:tr>
                  <w:tr w:rsidR="00F312D5" w:rsidRPr="00730D3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 בולים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312D5" w:rsidRPr="00730D31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הסכם שנחתם לפי סעיף 9 פטור ממס בולים.</w:t>
                        </w:r>
                      </w:p>
                    </w:tc>
                  </w:tr>
                  <w:tr w:rsidR="00F312D5" w:rsidRPr="00730D3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החיוור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באין הסכם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לא נחתם הסכם כאמור בסעיף 9 תוך ארבעה עשר יום מהתאריך שבו הוזמנו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לראשונה להתייצב לפני המתווך, יסיים המתווך את תיווכו ויגיש לממונה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דין וחשבון על מהלך התיווך, על תביעות הצדדים, על הצעותיהם ועל הצעותיו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ליישוב הסכסוך.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בהסכמת הצדדים רשאי הממונה הראשי לפרסם, בדרך שימצא לנכון, את הדין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או תקצירו.</w:t>
                        </w:r>
                      </w:p>
                    </w:tc>
                  </w:tr>
                  <w:tr w:rsidR="00F312D5" w:rsidRPr="00730D3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312D5" w:rsidRPr="00730D31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תיווך מחודש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משקיבל הממונה הראשי דין וחשבון לפי סעיף 11, רשאי הוא להציע לצדדים חידוש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התיווך ואם הסכימו לכך - יחדש המתווך את תיווכו והוראות פרק זה יחולו על התיווך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המחודש.</w:t>
                        </w:r>
                      </w:p>
                    </w:tc>
                  </w:tr>
                  <w:tr w:rsidR="00F312D5" w:rsidRPr="00730D3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312D5" w:rsidRPr="00730D31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העובדות שהגיעו לידיעתו של המתווך אגב התיווך ולא היו ידועות ברבים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בחזקת סוד ולא יביאן המתווך לידיעת אדם זולתו, אלא במידה שהדבר דרוש למילוי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ולשימוש בסמכויותיו,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שנה או קנס אלף לירות,</w:t>
                        </w:r>
                      </w:p>
                    </w:tc>
                  </w:tr>
                  <w:tr w:rsidR="00F312D5" w:rsidRPr="00730D3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312D5" w:rsidRPr="00730D31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שמורות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312D5" w:rsidRDefault="00F312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 נחתם הסכם כאמור בסעיף 9, כל הנאמר במהלך התיווך על ידי הצדדים, כל</w:t>
                        </w:r>
                      </w:p>
                      <w:p w:rsidR="00F312D5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שהושמעה בו וכל הצעה ליישוב הסכסוך שהובאה בו, לא יחייבו את הצדדים ולא</w:t>
                        </w:r>
                      </w:p>
                      <w:p w:rsidR="00F312D5" w:rsidRPr="00730D31" w:rsidRDefault="00F312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ישמשו ראיה בבוררות לפי חוק זה אלא אם הצדדים הסכימו לכך בכתב.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77D0B" w:rsidRDefault="00D77D0B">
      <w:pPr>
        <w:rPr>
          <w:rtl/>
        </w:rPr>
      </w:pPr>
      <w:r>
        <w:rPr>
          <w:rtl/>
        </w:rPr>
        <w:br w:type="page"/>
      </w:r>
    </w:p>
    <w:p w:rsidR="00D77D0B" w:rsidRDefault="00000000">
      <w:pPr>
        <w:rPr>
          <w:rtl/>
        </w:rPr>
      </w:pPr>
      <w:r>
        <w:pict>
          <v:shape id="_x0000_s18951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8951" inset="0,0,0,0">
              <w:txbxContent>
                <w:p w:rsidR="00F312D5" w:rsidRDefault="00F312D5">
                  <w:r>
                    <w:rPr>
                      <w:rtl/>
                    </w:rPr>
                    <w:t>60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52" o:spid="_x0000_s1036" type="#_x0000_t202" style="position:absolute;left:0;text-align:left;margin-left:64.45pt;margin-top:784.3pt;width:226.1pt;height:22.75pt;z-index:13;mso-position-horizontal-relative:page;mso-position-vertical-relative:page" stroked="f">
            <v:textbox style="mso-next-textbox:#_x0000_s18952" inset="0,0,0,0">
              <w:txbxContent>
                <w:p w:rsidR="00F312D5" w:rsidRDefault="00F312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953" o:spid="_x0000_s1037" type="#_x0000_t202" style="position:absolute;left:0;text-align:left;margin-left:76.15pt;margin-top:103.95pt;width:489.65pt;height:674.8pt;z-index:12;mso-position-horizontal-relative:page;mso-position-vertical-relative:page" stroked="f">
            <v:textbox style="mso-next-textbox:#_x0000_s1895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  <w:gridCol w:w="1560"/>
                  </w:tblGrid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15. ואלה הענינים לבוררות לפי חוק זה: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סכסוך עבודה שהצדדים הסכימו בכתב למסרו לבוררות לפי חוק זה;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סכסוך עבודה אשר לפי הסכם קיבוצי שבערך או הוארך לאחר תחילת חוק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יש למסרו לבוררות מסויימת כקבוע בהסכם ולא נקבעו הבורר או הבוררים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אופן מינוים או שנקבע אופן המינוי ולא נתמנו תוך זמן סביר' או שנתמנו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סיימו הבוררות תוך זמן סביר; וכל טענה לסתור אחת העובדות האלה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תוכרע אף היא בבוררות לפי חוק זה.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ענינים לבוררות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, כל צד לסכסוך עבודה שהוא ענין לבוררות לפי חוק זה, רשאי למסור הודעה על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הסכסוך לממונה; על הודעה לפי סעיף זה חלות הוראות סעיף .5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הורעה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 הממונה הראשי שהגיע אליו העתק ההודעה שנמסרה לממונה, ימנה ועדת בוררים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סכסוך (להלן - ועדת הבוררים) או יפעל לפי סעיף .18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ועדת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בוררים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הממונה הראשי רשאי, על פי בקשת הצדדים ולפני שמינה ועדת בוררים, ליטול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לידיו תפקיד בורר יחיד או למנות ממונה להיות בורר יחיד בסכסוך, ומשעשה אחד משני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נתונות לבורר היחיד כל הסמכויות של ועדת בוררים; הוראות פרק זה בדבר בוררות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בוררים חלות, בשינויים המחוייבים לפי הענין, על בוררות יחיד כאמור,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בורר יחיד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.ועדת בוררים היא של שלושה; האחד יושב ראש שנתמנה מבין האנשים ששמותיהם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ברשימת יושבי ראש לועדות בוררים שנערכה על ידי שר העבודה לאחר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במועצה ליחסי עבודה; נציג עובדים ונציג מעבידים שנתמנו, לאחר התייעצות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אחד מהם בצד המיוצג על ידיו, מבין האנשים ששמותיהם כלולים ברשימות נציגי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ונציגי מעבידים לועדות בוררים שנערכו על ידי שר העבודה לאחר התייעצות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בארגון העובדים המייצג את המספר הגדול ביותר של עובדים במדינה ובארגונים יציגים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מעבידים, הכל לפי הענין.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הרבב ועדת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בוררים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מי שפעל כמתווך בסכסוך עבודה מסויים לא יתמנה בורר יחיד או חבר ועדת בוררים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סכסוך, אלא בהסכמת הצדדים בכתב.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מחוור כבורר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יושב ראש ועדת הבוררים יקבע את מועדי ישיבותיה ומקומותיה ויודיע על כך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ליתר חברי הועדה ויזמין את הצדדים להתייצב לפני הועדה.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פתיחה הבוררות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.(א) ועדת בוררים תדון ותפסוק לפי כל חיקוק, הסכם קיבוצי או נוהג מקצועי,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באלה תשובה לנדון, תפסוק ועדת הבוררות לפי מידת הצדק והיושר,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"נוהג מקצועי" הוא הנהוג או המקובל לגבי הנדון בבוררות ורשאית ועדת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בוררים לוותר על הוכחתו בעדים או במומחים, אם היא משוכנעת בקיומו.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מקורות הדין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בבוררות</w:t>
                        </w:r>
                      </w:p>
                    </w:tc>
                  </w:tr>
                  <w:tr w:rsidR="00F312D5" w:rsidRPr="00D77D0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(א) רשאית ועדת בוררים, לשם ביצוע תפקידיה -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להשיג כל עדות, בין בכתב בין בעל פה, ולחקור כל אדם אם יש בכך,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לדעתה, ענין לסכסוך שנמסר לבוררות, אך לא יידרש אדם להשיב על שאלה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שעלולה להפלילו;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עד שיקיים עדותו בשבועה או בהן צדק;</w:t>
                        </w:r>
                      </w:p>
                      <w:p w:rsidR="00F312D5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להזמין אדם לבוא לישיבת הבוררות כדי להעיד או להגיש מסמך שברשותו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ולחקרו כעד או לדרוש מאתו להגיש כל מסמך שברשותו;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312D5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ועדת</w:t>
                        </w:r>
                      </w:p>
                      <w:p w:rsidR="00F312D5" w:rsidRPr="00D77D0B" w:rsidRDefault="00F312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בוררים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954" o:spid="_x0000_s1038" type="#_x0000_t202" style="position:absolute;left:0;text-align:left;margin-left:215.15pt;margin-top:75.85pt;width:133.45pt;height:21.8pt;z-index:11;mso-position-horizontal-relative:page;mso-position-vertical-relative:page" stroked="f">
            <v:textbox style="mso-next-textbox:#_x0000_s18954" inset="0,0,0,0">
              <w:txbxContent>
                <w:p w:rsidR="00F312D5" w:rsidRPr="00D77D0B" w:rsidRDefault="00F312D5">
                  <w:pPr>
                    <w:pStyle w:val="OCRStyle3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בוררות</w:t>
                  </w:r>
                </w:p>
              </w:txbxContent>
            </v:textbox>
            <w10:wrap anchorx="page" anchory="page"/>
          </v:shape>
        </w:pict>
      </w:r>
    </w:p>
    <w:p w:rsidR="00A7415D" w:rsidRDefault="00A7415D">
      <w:pPr>
        <w:rPr>
          <w:rtl/>
        </w:rPr>
      </w:pPr>
      <w:r>
        <w:rPr>
          <w:rtl/>
        </w:rPr>
        <w:br w:type="page"/>
      </w:r>
    </w:p>
    <w:p w:rsidR="00A7415D" w:rsidRDefault="00000000">
      <w:pPr>
        <w:rPr>
          <w:rtl/>
        </w:rPr>
      </w:pPr>
      <w:r>
        <w:pict>
          <v:shape id="_x0000_s18955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8955" inset="0,0,0,0">
              <w:txbxContent>
                <w:p w:rsidR="00F312D5" w:rsidRDefault="00F312D5">
                  <w:r>
                    <w:rPr>
                      <w:rtl/>
                    </w:rPr>
                    <w:t>61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56" o:spid="_x0000_s1040" type="#_x0000_t202" style="position:absolute;left:0;text-align:left;margin-left:365.1pt;margin-top:786pt;width:206.1pt;height:26.35pt;z-index:16;mso-position-horizontal-relative:page;mso-position-vertical-relative:page" stroked="f">
            <v:textbox style="mso-next-textbox:#_x0000_s18956" inset="0,0,0,0">
              <w:txbxContent>
                <w:p w:rsidR="00F312D5" w:rsidRDefault="00F312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957" o:spid="_x0000_s1041" type="#_x0000_t202" style="position:absolute;left:0;text-align:left;margin-left:88.1pt;margin-top:63.1pt;width:488.65pt;height:719.35pt;z-index:15;mso-position-horizontal-relative:page;mso-position-vertical-relative:page" stroked="f">
            <v:textbox style="mso-next-textbox:#_x0000_s1895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1"/>
                    <w:gridCol w:w="7663"/>
                  </w:tblGrid>
                  <w:tr w:rsidR="00F312D5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ליתן צו הכופה אדם לבוא לפניה, לאחר שלא בא לפי ההזמנה ולא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הצטדק על כך להנחת דעת הועדה וכן להטיל עליו תשלום ההוצאות שנגרמו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סירובו לציית להזמנה וגם לקנוס אותו בסכום שלא למעלה ממאה לירות;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לקנוס בסכום שלא למעלה ממאה לירות כל אדם שנדרש על ידי הועדה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בשבועה או להגיש מסמך ולא עשה כנדרש ולא הצטדק על כך להנחת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 של ועדת הבוררים.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לפי סעיף קטן (א) ייגבה בדרך שגובים קנס שהוטל על ידי בית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ועדת בוררים לא תהיה קשורה בדיני הראיות, אלא תפעל בדרך שתיראה לה מועילה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לבירור הנדון.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דיון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ועדת בוררים תקבע את סדרי דיוניה, במידה שלא נקבעו בחוק זה או בתקנות לפיו.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לדיון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בהרכב חסר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  רשאי יושב ראש של ועדת בוררים לקיים ישיבת הועדה בהעדר אחד הבוררים,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בירר תחילה כי לחבר הועדה הנעדר מהישיבה נשלחה הודעה על מקום הישיבה ומועדה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והחבר לא מסר הודעה ככתב על אי-יכלתו להשתתף בישיבה ולא הראה סיבות מספיקות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היושב ראש; סעיף זה אינו חל לגבי הישיבה הראשונה של הועדה, אלא אם היא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מתקיימת במועד דחוי.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בהרכב חסר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נתקיימה ישיבה בהעדר אחד החברים כאמור בסעיף 26, אי לא השתתף אחד מהם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בפעולות הועדה - אין חוקיות הישיבה או פעולות הועדה וסמכויותיה נפגעות על ידי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 זה; אולם לפי דרישת החבר שנעדר מישיבת הועדה רשאי היושב ראש לחדש את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בשאלות שבהן דנו בהעדר החבר, אם ראה היושב ראש סיבה מספקת להעדרו.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פסק-בינייט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ועדת בוררים רשאית לתת פסק-ביניים וכן רשאית היא לבטל בכל עת אותו פסק-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ברוב דעות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על-פי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היושב ראש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פסק-הבוררים או פסק-הביניים יינתנו ברוב דעות; ובאין רוב דעות יינתן פסלך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הבוררים או פסק-הביניים על ידי היושב ראש.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טעות סופר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מי שהיה יושב ראש ועדת הבוררים רשאי לתקן טעות סופר שנפלה בפסק-בוררים.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בוררים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תקופת תקפו של פסק-בוררים בענין תנאי עבודה, הוא שנה מיום נתינתו, אם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נקבעה בה תקופה קצרה יותר.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פסק-בוררים היא מיום נתינתו, אם לא נקבע בו לכך תאריך מוקדם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או מאוחר יותר.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דינו של פסק-בוררים כדין חוזה בין הצדדים לבוררות או כדין הסכם קיבוצי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ביניהם, הכל לפי הענין; פסק-בוררים בקשר להסכם קיבוצי בר-תוקף דינו כדין אותו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קיבוצי.</w:t>
                        </w:r>
                      </w:p>
                    </w:tc>
                  </w:tr>
                  <w:tr w:rsidR="00F312D5" w:rsidRPr="00A7415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פסק-בוררים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312D5" w:rsidRDefault="00F312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התעוררו חילוקי דעות בין הצדדים לבוררות בדבר פירוש פסק-הבוררים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בנקודה מסויימת והממונה הראשי סבור, כי אמנם טעון פסק-הבוררים פירוש באותה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נקודה, רשאי הוא, לפי בקשת אחד הצדדים להטיל על ועדת בוררים, וכן רשאי הוא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הצדדים להטיל על בורר יחיד כאמור בסעיף 18 - לפרש את פסק-הבוררים</w:t>
                        </w:r>
                      </w:p>
                      <w:p w:rsidR="00F312D5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 המפרשים תהיה חלק מפסק-הבוררים.</w:t>
                        </w:r>
                      </w:p>
                      <w:p w:rsidR="00F312D5" w:rsidRPr="00A7415D" w:rsidRDefault="00F312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פעולות ועדת בוררים לפי סעיף קטן (א) יחולו הוראות פרק זה.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312D5" w:rsidRDefault="00F312D5">
      <w:pPr>
        <w:rPr>
          <w:rtl/>
        </w:rPr>
      </w:pPr>
      <w:r>
        <w:rPr>
          <w:rtl/>
        </w:rPr>
        <w:br w:type="page"/>
      </w:r>
    </w:p>
    <w:p w:rsidR="00F312D5" w:rsidRDefault="00000000">
      <w:pPr>
        <w:rPr>
          <w:rtl/>
        </w:rPr>
      </w:pPr>
      <w:r>
        <w:pict>
          <v:shape id="_x0000_s18958" o:spid="_x0000_s1042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8958" inset="0,0,0,0">
              <w:txbxContent>
                <w:p w:rsidR="00F312D5" w:rsidRDefault="00F312D5">
                  <w:r>
                    <w:rPr>
                      <w:rtl/>
                    </w:rPr>
                    <w:t>62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59" o:spid="_x0000_s1043" type="#_x0000_t202" style="position:absolute;left:0;text-align:left;margin-left:72.6pt;margin-top:793.55pt;width:194.45pt;height:19.2pt;z-index:27;mso-position-horizontal-relative:page;mso-position-vertical-relative:page" stroked="f">
            <v:textbox style="mso-next-textbox:#_x0000_s18959" inset="0,0,0,0">
              <w:txbxContent>
                <w:p w:rsidR="00F312D5" w:rsidRDefault="00F312D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960" o:spid="_x0000_s1044" type="#_x0000_t202" style="position:absolute;left:0;text-align:left;margin-left:311.35pt;margin-top:745.45pt;width:184.55pt;height:45.55pt;z-index:26;mso-position-horizontal-relative:page;mso-position-vertical-relative:page" stroked="f">
            <v:textbox style="mso-next-textbox:#_x0000_s18960" inset="0,0,0,0">
              <w:txbxContent>
                <w:p w:rsidR="00F312D5" w:rsidRDefault="00F312D5">
                  <w:pPr>
                    <w:pStyle w:val="OCRStyle5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 א', פרק ו'ף עמ' 35.</w:t>
                  </w:r>
                </w:p>
                <w:p w:rsidR="00F312D5" w:rsidRPr="00F312D5" w:rsidRDefault="00F312D5">
                  <w:pPr>
                    <w:pStyle w:val="OCRStyle5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1947, תוס' 1 מס' 1568,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61" o:spid="_x0000_s1045" type="#_x0000_t202" style="position:absolute;left:0;text-align:left;margin-left:95.35pt;margin-top:672.8pt;width:116.25pt;height:37.2pt;z-index:25;mso-position-horizontal-relative:page;mso-position-vertical-relative:page" stroked="f">
            <v:textbox style="mso-next-textbox:#_x0000_s18961" inset="0,0,0,0">
              <w:txbxContent>
                <w:p w:rsidR="00F312D5" w:rsidRDefault="00F312D5">
                  <w:pPr>
                    <w:pStyle w:val="OCRStyle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F312D5" w:rsidRDefault="00F312D5">
                  <w:pPr>
                    <w:pStyle w:val="OCRStyle5"/>
                    <w:ind w:left="66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62" o:spid="_x0000_s1046" type="#_x0000_t202" style="position:absolute;left:0;text-align:left;margin-left:227pt;margin-top:674.55pt;width:114.45pt;height:40pt;z-index:24;mso-position-horizontal-relative:page;mso-position-vertical-relative:page" stroked="f">
            <v:textbox style="mso-next-textbox:#_x0000_s18962" inset="0,0,0,0">
              <w:txbxContent>
                <w:p w:rsidR="00F312D5" w:rsidRDefault="00F312D5">
                  <w:pPr>
                    <w:pStyle w:val="OCRStyle5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312D5" w:rsidRDefault="00F312D5">
                  <w:pPr>
                    <w:pStyle w:val="OCRStyle5"/>
                    <w:ind w:left="5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63" o:spid="_x0000_s1047" type="#_x0000_t202" style="position:absolute;left:0;text-align:left;margin-left:355.1pt;margin-top:704.65pt;width:114.45pt;height:34.45pt;z-index:23;mso-position-horizontal-relative:page;mso-position-vertical-relative:page" stroked="f">
            <v:textbox style="mso-next-textbox:#_x0000_s18963" inset="0,0,0,0">
              <w:txbxContent>
                <w:p w:rsidR="00F312D5" w:rsidRDefault="00F312D5">
                  <w:pPr>
                    <w:pStyle w:val="OCRStyle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312D5" w:rsidRDefault="00F312D5">
                  <w:pPr>
                    <w:pStyle w:val="OCRStyle5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64" o:spid="_x0000_s1048" type="#_x0000_t202" style="position:absolute;left:0;text-align:left;margin-left:71.6pt;margin-top:559.55pt;width:497.75pt;height:107.9pt;z-index:22;mso-position-horizontal-relative:page;mso-position-vertical-relative:page" stroked="f">
            <v:textbox style="mso-next-textbox:#_x0000_s1896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0"/>
                    <w:gridCol w:w="1459"/>
                  </w:tblGrid>
                  <w:tr w:rsidR="00F312D5" w:rsidRPr="00F312D5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43. שר העבודה ממונה על ביצוע חוק זה והוא רשאי/ לאחר שהתייעץ במועצה' להתקין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ענין הנוגע לביצועו.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פקודת בתי המשפט התעשייתיים, 1947 2, וחוק השביתות העותמני מיום 27 ביולי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1909 - בטלים.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תחילתו של חוק זה היא ביום כ"ח באדר א' תשי"ז (1 במרס 1957).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965" o:spid="_x0000_s1049" type="#_x0000_t202" style="position:absolute;left:0;text-align:left;margin-left:205.25pt;margin-top:536.55pt;width:174.25pt;height:22.75pt;z-index:21;mso-position-horizontal-relative:page;mso-position-vertical-relative:page" stroked="f">
            <v:textbox style="mso-next-textbox:#_x0000_s18965" inset="0,0,0,0">
              <w:txbxContent>
                <w:p w:rsidR="00F312D5" w:rsidRPr="00F312D5" w:rsidRDefault="00F312D5">
                  <w:pPr>
                    <w:pStyle w:val="OCRStyle5"/>
                    <w:ind w:left="43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66" o:spid="_x0000_s1050" type="#_x0000_t202" style="position:absolute;left:0;text-align:left;margin-left:69pt;margin-top:307.65pt;width:503.1pt;height:224.35pt;z-index:20;mso-position-horizontal-relative:page;mso-position-vertical-relative:page" stroked="f">
            <v:textbox style="mso-next-textbox:#_x0000_s18966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58"/>
                    <w:gridCol w:w="1290"/>
                  </w:tblGrid>
                  <w:tr w:rsidR="00F312D5" w:rsidRPr="00F312D5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38* שר העבודה ימנה מועצה ליחסי עבודה (להלן - המועצה) שתייעץ לו בכל הנוגע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ליחסי עבודה.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מועצה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ליחסי עבודה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חברי המועצה יהיו נציגי עובדים ונציגי מעבידים, שווה בשווה.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העובדים במועצה יתמנו לאחר התייעצות בארגון העובדים המייצג את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עובדים במדינה ונציגי המעבידים יתמנו לאחר התייעצות באר-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גונים יציגים של מעבידים במדינה.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המועצה ועל שמות חבריה תפורסם ברשומות.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שר העבודה רשאי לקבוע בתקנות את תקופת כהונתה של המועצה ותנאים לפקיעתה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חברות במועצה לפני תום תקופת כהונתה המלאה.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שר העבודה או מי שיתמנה על ידיו לכן"/ יהיה יושב ראש המועצה.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המועצה תקבע את סדרי דיוניה ועבודתה במידה שלא נקבעו בתקנות.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הדיון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במועצה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967" o:spid="_x0000_s1051" type="#_x0000_t202" style="position:absolute;left:0;text-align:left;margin-left:183.45pt;margin-top:288.65pt;width:210.65pt;height:18.2pt;z-index:19;mso-position-horizontal-relative:page;mso-position-vertical-relative:page" stroked="f">
            <v:textbox style="mso-next-textbox:#_x0000_s18967" inset="0,0,0,0">
              <w:txbxContent>
                <w:p w:rsidR="00F312D5" w:rsidRPr="00F312D5" w:rsidRDefault="00F312D5">
                  <w:pPr>
                    <w:pStyle w:val="OCRStyle5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המועצה ליחסי 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68" o:spid="_x0000_s1052" type="#_x0000_t202" style="position:absolute;left:0;text-align:left;margin-left:76.15pt;margin-top:62.55pt;width:498.75pt;height:225.9pt;z-index:18;mso-position-horizontal-relative:page;mso-position-vertical-relative:page" stroked="f">
            <v:textbox style="mso-next-textbox:#_x0000_s1896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9"/>
                    <w:gridCol w:w="1458"/>
                  </w:tblGrid>
                  <w:tr w:rsidR="00F312D5" w:rsidRPr="00F312D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.פסק-בוררים הוא סופי, ואין עליו ערעור.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פסק-בוררים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   (א) העובדות שהגיעו לידיעתו של חבר ועדת בוררים אגב הבוררות ולא היו ידועות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כרבים הן בחזקת סוד ולא יביאן לידיעת אדם זולתי/ אלא במידה שהדבר דרוש למילוי</w:t>
                        </w:r>
                      </w:p>
                      <w:p w:rsid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ולשימוש בסמכויותיו,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שנה או קנס אלף לירות.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סוריות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 יושב ראש ועדת הבוררים ימסור לממונה הראשי ולצדדים העתק פסק-הבוררים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כשההעתק מקויים בחתימת ידו.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מפסק-בוררים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פסק-בוררים, וכן כתב הרשאה הניתן על-ידי אחד הצדדים למתייצב בשמו לפני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בוררים/ פטורים ממס בולים.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ממם בולים</w:t>
                        </w:r>
                      </w:p>
                    </w:tc>
                  </w:tr>
                  <w:tr w:rsidR="00F312D5" w:rsidRPr="00F312D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F312D5" w:rsidRPr="00F312D5" w:rsidRDefault="00F312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פקודת הבוררות 1, אינה חלה על בוררות לפי חוק זה.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</w:t>
                        </w:r>
                      </w:p>
                      <w:p w:rsidR="00F312D5" w:rsidRPr="00F312D5" w:rsidRDefault="00F312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הבוררות</w:t>
                        </w:r>
                      </w:p>
                    </w:tc>
                  </w:tr>
                </w:tbl>
                <w:p w:rsidR="00F312D5" w:rsidRDefault="00F312D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240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F34705-C13B-4B2F-B88C-F8556EBA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40E4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30D31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D77D0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7415D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F312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2008-04-06T19:03:00Z</dcterms:created>
  <dcterms:modified xsi:type="dcterms:W3CDTF">2008-04-06T19:03:00Z</dcterms:modified>
</cp:coreProperties>
</file>