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7D94" w:rsidRDefault="00FB7D94">
      <w:pPr>
        <w:rPr>
          <w:rtl/>
        </w:rPr>
      </w:pPr>
    </w:p>
    <w:p w:rsidR="00FB7D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0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068" inset="0,0,0,0">
              <w:txbxContent>
                <w:p w:rsidR="00DD2EFF" w:rsidRDefault="00DD2EFF">
                  <w:r>
                    <w:rPr>
                      <w:rtl/>
                    </w:rPr>
                    <w:t>53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69" o:spid="_x0000_s1026" type="#_x0000_t202" style="position:absolute;left:0;text-align:left;margin-left:151.1pt;margin-top:632.4pt;width:391.65pt;height:111.85pt;z-index:3;mso-wrap-style:none;mso-position-horizontal-relative:page;mso-position-vertical-relative:page" stroked="f">
            <v:textbox style="mso-next-textbox:#_x0000_s19069" inset="0,0,0,0">
              <w:txbxContent>
                <w:p w:rsidR="00DD2EFF" w:rsidRDefault="00DD2EFF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תשכ''ח (26 במרס 1968); הצעת החוק ודברי הסבר פורסמו בה"ח 764, תשכ"ח,</w:t>
                  </w:r>
                </w:p>
                <w:p w:rsidR="00DD2EFF" w:rsidRDefault="00DD2EFF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עמ' 140.</w:t>
                  </w:r>
                </w:p>
                <w:p w:rsidR="00DD2EFF" w:rsidRDefault="00DD2EFF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8 תשכ"ד, עמ' 197; ס"ח תשכ"ה, עמ' 127, עמי 215, עמ' 263; ס"ח תשכ''ז,</w:t>
                  </w:r>
                </w:p>
                <w:p w:rsidR="00DD2EFF" w:rsidRPr="00FB7D94" w:rsidRDefault="00DD2EFF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עמ' 16, עמ' 56, עמ' 74; ס"ח תשכ"ח, עמ' .10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70" o:spid="_x0000_s1027" type="#_x0000_t202" style="position:absolute;left:0;text-align:left;margin-left:92.5pt;margin-top:120.15pt;width:454.6pt;height:508.65pt;z-index:2;mso-wrap-style:none;mso-position-horizontal-relative:page;mso-position-vertical-relative:page" stroked="f">
            <v:textbox style="mso-next-textbox:#_x0000_s19070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4"/>
                    <w:gridCol w:w="5647"/>
                    <w:gridCol w:w="1465"/>
                  </w:tblGrid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הכותרת</w:t>
                        </w:r>
                      </w:p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פרק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עשר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בכותרת לפרק ארבעה עשר לפקודת העיריות 1 (להלן-הפקודה), במקום "ארנונות"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"ארנונה".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209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269 לפקודה, בהגדרת "אדמה חקלאית", במקום "רשאי מנהל השומה" יבוא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"רשאית המועצה".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 עד 272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סעיפים 270 עד 272 לפקודה - בטלים.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הכותרת של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בכותרת של סימן ב' בפרק ארבעה עשר לפקודה, במקום "האתונות" יבוא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"הארנונה".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274ו-274א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סעיפים 274 ו-274א לפקודה - בטלים.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274ג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274ג לפקודה, במקום "הארגונית" יבוא "הארנונה".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275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275 לפקודה -</w:t>
                        </w:r>
                      </w:p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"הארנונות" יבוא "הארנונה", והסימן (א) -</w:t>
                        </w:r>
                      </w:p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יימחק.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בטל.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276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276 לפקודה יבוא: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276. החלטת מועצה בדבר הטלת ארנונה כללית תתקבל לא יאוחר מיום</w:t>
                        </w:r>
                      </w:p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במרס שלפני שנת הכספים שלגביה מוטלת הארנונה."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החלטה על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277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277 לפקודה, במקום "שיעורי הארנונות שהחליטה עליהם ומועדי תשלומך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"שיעורי הארנונה שהחליטה עליהם ומועדי תשלומה."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278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278 (א) לפקודה, במקום "לארנונות" יבוא "לארנונה".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279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 בסעיף 279 לפקודה, במקום סעיף קטן (ב) יבוא:</w:t>
                        </w:r>
                      </w:p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278 רואים את הארנונה שתשולם כאמור כאילו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הוטלה לשנת הכספים שבה תשולם."</w:t>
                        </w:r>
                      </w:p>
                    </w:tc>
                  </w:tr>
                  <w:tr w:rsidR="00DD2EFF" w:rsidRPr="00FB7D94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DD2EFF" w:rsidRPr="00FB7D94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280</w:t>
                        </w:r>
                      </w:p>
                    </w:tc>
                    <w:tc>
                      <w:tcPr>
                        <w:tcW w:w="4302" w:type="pct"/>
                        <w:gridSpan w:val="2"/>
                      </w:tcPr>
                      <w:p w:rsidR="00DD2EFF" w:rsidRDefault="00DD2E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280 לפקודה, במקום "להפחית ארנונות או לוותר עליהן" יבוא "להפחית</w:t>
                        </w:r>
                      </w:p>
                      <w:p w:rsidR="00DD2EFF" w:rsidRPr="00FB7D94" w:rsidRDefault="00DD2EF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או לוותר עליה".</w:t>
                        </w:r>
                      </w:p>
                    </w:tc>
                  </w:tr>
                </w:tbl>
                <w:p w:rsidR="00DD2EFF" w:rsidRDefault="00DD2E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071" o:spid="_x0000_s1028" type="#_x0000_t202" style="position:absolute;left:0;text-align:left;margin-left:188.1pt;margin-top:71.85pt;width:324.5pt;height:42.15pt;z-index:1;mso-wrap-style:none;mso-position-horizontal-relative:page;mso-position-vertical-relative:page" stroked="f">
            <v:textbox style="mso-next-textbox:#_x0000_s19071" inset="0,0,0,0">
              <w:txbxContent>
                <w:p w:rsidR="00DD2EFF" w:rsidRDefault="00DD2EFF">
                  <w:pPr>
                    <w:pStyle w:val="OCRStyle1"/>
                    <w:ind w:left="16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 (מס' 8) (ביטול ארנונת רכוש),</w:t>
                  </w:r>
                </w:p>
                <w:p w:rsidR="00DD2EFF" w:rsidRPr="00FB7D94" w:rsidRDefault="00DD2EFF">
                  <w:pPr>
                    <w:pStyle w:val="OCRStyle1"/>
                    <w:ind w:left="229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תשכ"ח-1968 *</w:t>
                  </w:r>
                </w:p>
              </w:txbxContent>
            </v:textbox>
            <w10:wrap anchorx="page" anchory="page"/>
          </v:shape>
        </w:pict>
      </w:r>
    </w:p>
    <w:p w:rsidR="009B0313" w:rsidRDefault="009B0313">
      <w:pPr>
        <w:rPr>
          <w:rtl/>
        </w:rPr>
      </w:pPr>
      <w:r>
        <w:rPr>
          <w:rtl/>
        </w:rPr>
        <w:br w:type="page"/>
      </w:r>
    </w:p>
    <w:p w:rsidR="009B0313" w:rsidRDefault="00000000">
      <w:pPr>
        <w:rPr>
          <w:rtl/>
        </w:rPr>
      </w:pPr>
      <w:r>
        <w:pict>
          <v:shape id="_x0000_s1907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072" inset="0,0,0,0">
              <w:txbxContent>
                <w:p w:rsidR="00DD2EFF" w:rsidRDefault="00DD2EFF">
                  <w:r>
                    <w:rPr>
                      <w:rtl/>
                    </w:rPr>
                    <w:t>54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73" o:spid="_x0000_s1030" type="#_x0000_t202" style="position:absolute;left:0;text-align:left;margin-left:89.75pt;margin-top:681.55pt;width:429.65pt;height:60.4pt;z-index:6;mso-wrap-style:none;mso-position-horizontal-relative:page;mso-position-vertical-relative:page" stroked="f">
            <v:textbox style="mso-next-textbox:#_x0000_s19073" inset="0,0,0,0">
              <w:txbxContent>
                <w:p w:rsidR="00DD2EFF" w:rsidRDefault="00DD2EFF">
                  <w:pPr>
                    <w:pStyle w:val="OCRStyle2"/>
                    <w:ind w:left="983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9, תשכ"ה, עמ' 256.</w:t>
                  </w:r>
                </w:p>
                <w:p w:rsidR="00DD2EFF" w:rsidRPr="009B0313" w:rsidRDefault="00DD2EFF">
                  <w:pPr>
                    <w:pStyle w:val="OCRStyle2"/>
                    <w:ind w:left="986"/>
                  </w:pPr>
                  <w:r>
                    <w:rPr>
                      <w:rtl/>
                    </w:rPr>
                    <w:t>3 ע''ר 1938, תוס' 1 מס' 792, עמ' .27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74" o:spid="_x0000_s1031" type="#_x0000_t202" style="position:absolute;left:0;text-align:left;margin-left:86pt;margin-top:69.15pt;width:474.4pt;height:611.25pt;z-index:5;mso-wrap-style:none;mso-position-horizontal-relative:page;mso-position-vertical-relative:page" stroked="f">
            <v:textbox style="mso-next-textbox:#_x0000_s19074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6"/>
                    <w:gridCol w:w="1178"/>
                    <w:gridCol w:w="1421"/>
                  </w:tblGrid>
                  <w:tr w:rsidR="00DD2EFF" w:rsidRPr="009B0313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סימנים ג/ ד' ו-ה' בפרק ארבעה עשר לפקודה, למעט סעיפים 287 ו-288-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בטלים.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287 לפקודה יבוא:</w:t>
                        </w:r>
                      </w:p>
                    </w:tc>
                    <w:tc>
                      <w:tcPr>
                        <w:tcW w:w="824" w:type="pct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סימנים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 ד' ו-ה' בפרק</w:t>
                        </w:r>
                      </w:p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עשר</w:t>
                        </w:r>
                      </w:p>
                    </w:tc>
                  </w:tr>
                  <w:tr w:rsidR="00DD2EFF">
                    <w:trPr>
                      <w:jc w:val="right"/>
                    </w:trPr>
                    <w:tc>
                      <w:tcPr>
                        <w:tcW w:w="3493" w:type="pct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287, לענין ארנונה רשאי מי שהוסמך לכך על ידי ראש העיריה -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לערוך, בעצמו או על ידי שליחיו, כל מפקד וחקירה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שימצא לנחוץ;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מכל בעל או מחזיק למסור לו או לשליחיו כל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שבידו ולהראות לו או לשליחיו כל מסמך שברשותו,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 לו בקשר לתפקידיו;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להיכנס בכל עת סבירה לנכסים, בעצמו או על '-די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שליחיו, ולערוך בהם בדיקות ומדידות;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להשתמש בכל הידיעות שהושגו כאמור ובכל ידיעה</w:t>
                        </w:r>
                      </w:p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וחומר אחרים."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''השגת ידיעות</w:t>
                        </w:r>
                      </w:p>
                    </w:tc>
                    <w:tc>
                      <w:tcPr>
                        <w:tcW w:w="824" w:type="pct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D2EFF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288 (ב) (2) לפקודה' במקום "מנהל השומה" יבוא "מי שהוסמך על ידי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העיריה".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D2EFF" w:rsidRPr="009B0313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300 לפקודה יבוא:</w:t>
                        </w:r>
                      </w:p>
                    </w:tc>
                    <w:tc>
                      <w:tcPr>
                        <w:tcW w:w="824" w:type="pct"/>
                      </w:tcPr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300</w:t>
                        </w:r>
                      </w:p>
                    </w:tc>
                  </w:tr>
                  <w:tr w:rsidR="00DD2EFF">
                    <w:trPr>
                      <w:jc w:val="right"/>
                    </w:trPr>
                    <w:tc>
                      <w:tcPr>
                        <w:tcW w:w="3493" w:type="pct"/>
                      </w:tcPr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300. כל החייב בתשלום ארנונה ישלם אותה במועדה."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'"-תשלום במועדו</w:t>
                        </w:r>
                      </w:p>
                    </w:tc>
                    <w:tc>
                      <w:tcPr>
                        <w:tcW w:w="824" w:type="pct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D2EFF" w:rsidRPr="009B0313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סעיפים 323א עד 323ג לפקודה - בטלים.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323א עד 323ג</w:t>
                        </w:r>
                      </w:p>
                    </w:tc>
                  </w:tr>
                  <w:tr w:rsidR="00DD2EFF" w:rsidRPr="009B0313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19 (א) לפקודת המועצות המקומיות 2, במקום "ארנונת רכוש" יבוא "ארנונה".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המקומיות</w:t>
                        </w:r>
                      </w:p>
                    </w:tc>
                  </w:tr>
                  <w:tr w:rsidR="00DD2EFF" w:rsidRPr="009B0313">
                    <w:trPr>
                      <w:jc w:val="right"/>
                    </w:trPr>
                    <w:tc>
                      <w:tcPr>
                        <w:tcW w:w="4176" w:type="pct"/>
                        <w:gridSpan w:val="2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בפקודת מסי העיריה ומסי הממשלה (פטורין), 31938 -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2, במקום סעיף קטן (ב) יבוא: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"ארנונה כללית" פירושו כאמור בסעיף 274ב לפקודת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העיריות.";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3, פסקה (א) - בטלה, ובפסקה (ב), במקום "מס העיריה הכללי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 החינוך לא יוטלו" יבוא "ארנונה כללית לא תוטל";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4, בפסקה (א), במקום "מס הרכוש לעיריה, מס העיריה הכללי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 החינוך לא יוטלו" יבוא "ארנונה כללית לא תוטל", ובפסקה (ב), במקום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 העיריה ומס החינוך לא יוטלו" יבוא "ארנונה כללית לא תוטל";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5, במקום "ממס הרכוש לעיריה, מהמס הכללי וממס החינוך"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"מהארנונה הכללית";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5א -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"מתשלום מס הרכוש לעיריה או מתשלום מס עיריה כללי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מתשלום מס החינוך לעיריה" יבוא "מתשלום ארנונה כללית";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"מכל מס רכוש, מס כללי או מס חינוך שהוטל" יבוא "מכל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כללית שהוטלה";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"ארנונת רכוש וארנונה כללית" יבוא "ארנונה כללית";</w:t>
                        </w:r>
                      </w:p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5כ, במקום "ארנונת רכוש וארנונה כללית" יבוא "ארגונה כללית".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העיריה</w:t>
                        </w:r>
                      </w:p>
                      <w:p w:rsidR="00DD2EFF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 הממשלה</w:t>
                        </w:r>
                      </w:p>
                      <w:p w:rsidR="00DD2EFF" w:rsidRPr="009B0313" w:rsidRDefault="00DD2EF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(פטורין), 1938</w:t>
                        </w:r>
                      </w:p>
                    </w:tc>
                  </w:tr>
                </w:tbl>
                <w:p w:rsidR="00DD2EFF" w:rsidRDefault="00DD2EF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D2EFF" w:rsidRDefault="00DD2EFF">
      <w:pPr>
        <w:rPr>
          <w:rtl/>
        </w:rPr>
      </w:pPr>
      <w:r>
        <w:rPr>
          <w:rtl/>
        </w:rPr>
        <w:br w:type="page"/>
      </w:r>
    </w:p>
    <w:p w:rsidR="00DD2EFF" w:rsidRDefault="00000000">
      <w:pPr>
        <w:rPr>
          <w:rtl/>
        </w:rPr>
      </w:pPr>
      <w:r>
        <w:pict>
          <v:shape id="_x0000_s1907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9075" inset="0,0,0,0">
              <w:txbxContent>
                <w:p w:rsidR="00DD2EFF" w:rsidRDefault="00DD2EFF">
                  <w:r>
                    <w:rPr>
                      <w:rtl/>
                    </w:rPr>
                    <w:t>55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76" o:spid="_x0000_s1033" type="#_x0000_t202" style="position:absolute;left:0;text-align:left;margin-left:440.5pt;margin-top:415.2pt;width:97.2pt;height:14.65pt;z-index:12;mso-wrap-style:none;mso-position-horizontal-relative:page;mso-position-vertical-relative:page" stroked="f">
            <v:textbox style="mso-next-textbox:#_x0000_s19076" inset="0,0,0,0">
              <w:txbxContent>
                <w:p w:rsidR="00DD2EFF" w:rsidRPr="00DD2EFF" w:rsidRDefault="00DD2EFF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4 ס"ח תשכ''ז,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77" o:spid="_x0000_s1034" type="#_x0000_t202" style="position:absolute;left:0;text-align:left;margin-left:170pt;margin-top:333.45pt;width:114.65pt;height:39.6pt;z-index:11;mso-wrap-style:none;mso-position-horizontal-relative:page;mso-position-vertical-relative:page" stroked="f">
            <v:textbox style="mso-next-textbox:#_x0000_s19077" inset="0,0,0,0">
              <w:txbxContent>
                <w:p w:rsidR="00DD2EFF" w:rsidRDefault="00DD2EFF">
                  <w:pPr>
                    <w:pStyle w:val="OCRStyle3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DD2EFF" w:rsidRDefault="00DD2EFF">
                  <w:pPr>
                    <w:pStyle w:val="OCRStyle3"/>
                    <w:ind w:left="61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78" o:spid="_x0000_s1035" type="#_x0000_t202" style="position:absolute;left:0;text-align:left;margin-left:303.45pt;margin-top:329.1pt;width:82.75pt;height:43.95pt;z-index:10;mso-wrap-style:none;mso-position-horizontal-relative:page;mso-position-vertical-relative:page" stroked="f">
            <v:textbox style="mso-next-textbox:#_x0000_s19078" inset="0,0,0,0">
              <w:txbxContent>
                <w:p w:rsidR="00DD2EFF" w:rsidRDefault="00DD2EFF">
                  <w:pPr>
                    <w:pStyle w:val="OCRStyle3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D2EFF" w:rsidRDefault="00DD2EFF">
                  <w:pPr>
                    <w:pStyle w:val="OCRStyle3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79" o:spid="_x0000_s1036" type="#_x0000_t202" style="position:absolute;left:0;text-align:left;margin-left:413.75pt;margin-top:359.4pt;width:130.9pt;height:50.7pt;z-index:9;mso-wrap-style:none;mso-position-horizontal-relative:page;mso-position-vertical-relative:page" stroked="f">
            <v:textbox style="mso-next-textbox:#_x0000_s19079" inset="0,0,0,0">
              <w:txbxContent>
                <w:p w:rsidR="00DD2EFF" w:rsidRDefault="00DD2EFF">
                  <w:pPr>
                    <w:pStyle w:val="OCRStyle3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D2EFF" w:rsidRDefault="00DD2EFF">
                  <w:pPr>
                    <w:pStyle w:val="OCRStyle3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080" o:spid="_x0000_s1037" type="#_x0000_t202" style="position:absolute;left:0;text-align:left;margin-left:90pt;margin-top:67.5pt;width:465.7pt;height:247.1pt;z-index:8;mso-wrap-style:none;mso-position-horizontal-relative:page;mso-position-vertical-relative:page" stroked="f">
            <v:textbox style="mso-next-textbox:#_x0000_s19080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124"/>
                  </w:tblGrid>
                  <w:tr w:rsidR="00DD2EFF" w:rsidRPr="00DD2EFF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D2EFF" w:rsidRP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תשלומים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 נקבע בחיקוק כי תשלום פלוני ייגבה בדרך שגובים ארנונות או ארנונת רכוש, יראו</w:t>
                        </w:r>
                      </w:p>
                      <w:p w:rsidR="00DD2EFF" w:rsidRP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נקבע באותו חיקוק כי התשלום ייגבה בדרך שגובים ארנונה כללית.</w:t>
                        </w:r>
                      </w:p>
                    </w:tc>
                  </w:tr>
                  <w:tr w:rsidR="00DD2EFF" w:rsidRPr="00DD2EFF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D2EFF" w:rsidRP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על אף האמור בחוק זה -</w:t>
                        </w:r>
                      </w:p>
                      <w:p w:rsid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ענין המתייחס לארנונת רכוש לשנת הכספים 1967/68 או לשנים שלפניה,</w:t>
                        </w:r>
                      </w:p>
                      <w:p w:rsid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התלוי ועומד בפני ועדת שומה, מנהל שומה, ועדת ערר או בית משפט, ימשיכו</w:t>
                        </w:r>
                      </w:p>
                      <w:p w:rsid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בו עד סיומו לפי הוראות הפקודה המבוטלות בחוק זה;</w:t>
                        </w:r>
                      </w:p>
                      <w:p w:rsid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בעיריה בה מוטלת ארנונה כללית לפי אחוז מסויים מהשיוי לצורך האר-</w:t>
                        </w:r>
                      </w:p>
                      <w:p w:rsid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נונה, כאמור בסעיף 22 (ה) ו-(ו) לחוק לתיקון פקודת העיריות (מס' 5), תשכ"ז-</w:t>
                        </w:r>
                      </w:p>
                      <w:p w:rsid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41967, יוסיפו לחול - לכל ענין הקשור בקביעת השווי האמור, לרבות עניני</w:t>
                        </w:r>
                      </w:p>
                      <w:p w:rsidR="00DD2EFF" w:rsidRP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בקורת, השגה, ערר וערעור - הוראות הפקודה המובטלות בחוק זה.</w:t>
                        </w:r>
                      </w:p>
                    </w:tc>
                  </w:tr>
                  <w:tr w:rsidR="00DD2EFF" w:rsidRPr="00DD2EFF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D2EFF" w:rsidRP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החלטות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החלטת ועדת שומה שליד עיריה או מועצה מקומית לא תיפסל בשל כך בלבד שנתקבלה</w:t>
                        </w:r>
                      </w:p>
                      <w:p w:rsidR="00DD2EFF" w:rsidRP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בישיבה שבה נוכחו שנים בלבד מחברי הועדה.</w:t>
                        </w:r>
                      </w:p>
                    </w:tc>
                  </w:tr>
                  <w:tr w:rsidR="00DD2EFF" w:rsidRPr="00DD2EFF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DD2EFF" w:rsidRP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DD2EFF" w:rsidRPr="00DD2EFF" w:rsidRDefault="00DD2EF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תחילתו של חוק זה ביום ג' בניסן תשכ"ח (1 באפריל 1968).</w:t>
                        </w:r>
                      </w:p>
                    </w:tc>
                  </w:tr>
                </w:tbl>
                <w:p w:rsidR="00DD2EFF" w:rsidRDefault="00DD2EF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7D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B42A39-B798-4CFE-9A3B-3E9E1621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7D9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B031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D2EF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2008-04-09T14:17:00Z</dcterms:created>
  <dcterms:modified xsi:type="dcterms:W3CDTF">2008-04-09T14:18:00Z</dcterms:modified>
</cp:coreProperties>
</file>