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46C7E" w:rsidRDefault="00546C7E">
      <w:pPr>
        <w:rPr>
          <w:rtl/>
        </w:rPr>
      </w:pPr>
    </w:p>
    <w:p w:rsidR="00546C7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47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9477" inset="0,0,0,0">
              <w:txbxContent>
                <w:p w:rsidR="00B458BE" w:rsidRDefault="00B458BE">
                  <w:r>
                    <w:rPr>
                      <w:rtl/>
                    </w:rPr>
                    <w:t>172                                         ספר החוקים 1053                  ל' בסיוון התשמ"ב 21.06.1982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78" o:spid="_x0000_s1026" type="#_x0000_t202" style="position:absolute;left:0;text-align:left;margin-left:91.05pt;margin-top:621.1pt;width:394.8pt;height:84.75pt;z-index:3;mso-wrap-style:none;mso-position-horizontal-relative:page;mso-position-vertical-relative:page" stroked="f">
            <v:textbox style="mso-next-textbox:#_x0000_s19478" inset="0,0,0,0">
              <w:txbxContent>
                <w:p w:rsidR="00B458BE" w:rsidRDefault="00B458BE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כ"ג בסיון התשמ"ב (14 ביוני 1982); הצעת החוק ודברי הסבר פורסמו בה"ח 1580, התשמ"ב,</w:t>
                  </w:r>
                </w:p>
                <w:p w:rsidR="00B458BE" w:rsidRDefault="00B458BE">
                  <w:pPr>
                    <w:pStyle w:val="OCRStyle1"/>
                    <w:ind w:left="47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196.</w:t>
                  </w:r>
                </w:p>
                <w:p w:rsidR="00B458BE" w:rsidRDefault="00B458BE">
                  <w:pPr>
                    <w:pStyle w:val="OCRStyle1"/>
                    <w:ind w:left="31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התשל"ז, עמ' 226; התשל"ח, עמ' 50, 53, 111 ו-148; התשל"ט, עמ' 38 ו-43; התש"ם, עמ' 3, 40, 60,</w:t>
                  </w:r>
                </w:p>
                <w:p w:rsidR="00B458BE" w:rsidRDefault="00B458BE">
                  <w:pPr>
                    <w:pStyle w:val="OCRStyle1"/>
                    <w:ind w:left="48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26, 95, 112 ו-129. </w:t>
                  </w:r>
                </w:p>
                <w:p w:rsidR="00B458BE" w:rsidRDefault="00B458BE">
                  <w:pPr>
                    <w:pStyle w:val="OCRStyle1"/>
                    <w:ind w:left="28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דיני מדינת ישראל, נוסח חדש 1, עמ' 2; ס"ח התש"ם, עמ' 61.</w:t>
                  </w:r>
                </w:p>
                <w:p w:rsidR="00B458BE" w:rsidRDefault="00B458BE">
                  <w:pPr>
                    <w:pStyle w:val="OCRStyle1"/>
                    <w:ind w:left="29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התשכ"ה, עמ' 161; התש"ם, עמ' 61.</w:t>
                  </w:r>
                </w:p>
                <w:p w:rsidR="00B458BE" w:rsidRDefault="00B458BE">
                  <w:pPr>
                    <w:pStyle w:val="OCRStyle1"/>
                    <w:ind w:left="28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דיני מדינת ישראל, נוסח חדש 8, עמ' 197; ס"ח התש"ם, עמ' .61</w:t>
                  </w:r>
                </w:p>
                <w:p w:rsidR="00B458BE" w:rsidRPr="00546C7E" w:rsidRDefault="00B458BE">
                  <w:pPr>
                    <w:pStyle w:val="OCRStyle1"/>
                    <w:ind w:left="27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דיני מדינת ישראל, נוסח חדש 9, עמ' 256; ס"ח התש"ם, עמ' .61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79" o:spid="_x0000_s1027" type="#_x0000_t202" style="position:absolute;left:0;text-align:left;margin-left:84.5pt;margin-top:99.2pt;width:471.65pt;height:521.75pt;z-index:2;mso-wrap-style:none;mso-position-horizontal-relative:page;mso-position-vertical-relative:page" stroked="f">
            <v:textbox style="mso-next-textbox:#_x0000_s19479" inset="0,0,0,0">
              <w:txbxContent>
                <w:tbl>
                  <w:tblPr>
                    <w:tblW w:w="50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08"/>
                    <w:gridCol w:w="1153"/>
                    <w:gridCol w:w="1415"/>
                  </w:tblGrid>
                  <w:tr w:rsidR="00B458BE" w:rsidRPr="00546C7E">
                    <w:trPr>
                      <w:jc w:val="right"/>
                    </w:trPr>
                    <w:tc>
                      <w:tcPr>
                        <w:tcW w:w="4175" w:type="pct"/>
                        <w:gridSpan w:val="2"/>
                      </w:tcPr>
                      <w:p w:rsidR="00B458BE" w:rsidRDefault="00B458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העונשין, התשל"ז-1977  1 (להלן - החוק העיקרי), בסעיפים 40 ו-77,</w:t>
                        </w:r>
                      </w:p>
                      <w:p w:rsidR="00B458BE" w:rsidRPr="00546C7E" w:rsidRDefault="00B458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מקום שבו נאמר "לירות" יבוא "שקלים".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B458BE" w:rsidRDefault="00B458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סעיפים</w:t>
                        </w:r>
                      </w:p>
                      <w:p w:rsidR="00B458BE" w:rsidRPr="00546C7E" w:rsidRDefault="00B458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 ו-77</w:t>
                        </w:r>
                      </w:p>
                    </w:tc>
                  </w:tr>
                  <w:tr w:rsidR="00B458BE" w:rsidRPr="00546C7E">
                    <w:trPr>
                      <w:jc w:val="right"/>
                    </w:trPr>
                    <w:tc>
                      <w:tcPr>
                        <w:tcW w:w="4175" w:type="pct"/>
                        <w:gridSpan w:val="2"/>
                      </w:tcPr>
                      <w:p w:rsidR="00B458BE" w:rsidRDefault="00B458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61 לחוק העיקרי -</w:t>
                        </w:r>
                      </w:p>
                      <w:p w:rsidR="00B458BE" w:rsidRDefault="00B458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בכל מקום שבו נאמר "לירות" יבוא "שקלים";</w:t>
                        </w:r>
                      </w:p>
                      <w:p w:rsidR="00B458BE" w:rsidRPr="00546C7E" w:rsidRDefault="00B458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 אחרי "נמשכת" יבוא "קנס או".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B458BE" w:rsidRPr="00546C7E" w:rsidRDefault="00B458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61</w:t>
                        </w:r>
                      </w:p>
                    </w:tc>
                  </w:tr>
                  <w:tr w:rsidR="00B458BE" w:rsidRPr="00546C7E">
                    <w:trPr>
                      <w:jc w:val="right"/>
                    </w:trPr>
                    <w:tc>
                      <w:tcPr>
                        <w:tcW w:w="4175" w:type="pct"/>
                        <w:gridSpan w:val="2"/>
                      </w:tcPr>
                      <w:p w:rsidR="00B458BE" w:rsidRPr="00546C7E" w:rsidRDefault="00B458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אחרי סעיף 63 לחוק העיקרי יבוא:</w:t>
                        </w:r>
                      </w:p>
                    </w:tc>
                    <w:tc>
                      <w:tcPr>
                        <w:tcW w:w="825" w:type="pct"/>
                      </w:tcPr>
                      <w:p w:rsidR="00B458BE" w:rsidRPr="00546C7E" w:rsidRDefault="00B458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64</w:t>
                        </w:r>
                      </w:p>
                    </w:tc>
                  </w:tr>
                  <w:tr w:rsidR="00B458BE">
                    <w:trPr>
                      <w:jc w:val="right"/>
                    </w:trPr>
                    <w:tc>
                      <w:tcPr>
                        <w:tcW w:w="3503" w:type="pct"/>
                      </w:tcPr>
                      <w:p w:rsidR="00B458BE" w:rsidRDefault="00B458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64. (א) שר המשפטים רשאי לשנות בצו את שיעורי הקנסות הקבועים</w:t>
                        </w:r>
                      </w:p>
                      <w:p w:rsidR="00B458BE" w:rsidRDefault="00B458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חוק, על פי השינויים שחלו במדד מן המדד שפורסם בחודש שבו</w:t>
                        </w:r>
                      </w:p>
                      <w:p w:rsidR="00B458BE" w:rsidRDefault="00B458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הם נקבעו לאחרונה.</w:t>
                        </w:r>
                      </w:p>
                      <w:p w:rsidR="00B458BE" w:rsidRDefault="00B458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יוגדלו שיעורי קנסות לפי סעיף זה לפני שחלפו ששה</w:t>
                        </w:r>
                      </w:p>
                      <w:p w:rsidR="00B458BE" w:rsidRDefault="00B458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מיום ההגדלה הקודמת.</w:t>
                        </w:r>
                      </w:p>
                      <w:p w:rsidR="00B458BE" w:rsidRDefault="00B458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זה -</w:t>
                        </w:r>
                      </w:p>
                      <w:p w:rsidR="00B458BE" w:rsidRDefault="00B458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"מדד" - מדד המחירים לצרכן שמפרסמת הלשכה המרכזית לסטטיס-</w:t>
                        </w:r>
                      </w:p>
                      <w:p w:rsidR="00B458BE" w:rsidRDefault="00B458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טיקה ;</w:t>
                        </w:r>
                      </w:p>
                      <w:p w:rsidR="00B458BE" w:rsidRDefault="00B458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"קנסות" - לרבות תקרות לקנסות שהחוק מסמיך לקבוע ולרבות תקרת</w:t>
                        </w:r>
                      </w:p>
                      <w:p w:rsidR="00B458BE" w:rsidRPr="00546C7E" w:rsidRDefault="00B458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הפיצויים האמורה בסעיף 77."</w:t>
                        </w:r>
                      </w:p>
                    </w:tc>
                    <w:tc>
                      <w:tcPr>
                        <w:tcW w:w="672" w:type="pct"/>
                      </w:tcPr>
                      <w:p w:rsidR="00B458BE" w:rsidRPr="00546C7E" w:rsidRDefault="00B458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"עדכון קנסות</w:t>
                        </w:r>
                      </w:p>
                    </w:tc>
                    <w:tc>
                      <w:tcPr>
                        <w:tcW w:w="825" w:type="pct"/>
                      </w:tcPr>
                      <w:p w:rsidR="00B458BE" w:rsidRDefault="00B458B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B458BE" w:rsidRPr="00546C7E">
                    <w:trPr>
                      <w:jc w:val="right"/>
                    </w:trPr>
                    <w:tc>
                      <w:tcPr>
                        <w:tcW w:w="4175" w:type="pct"/>
                        <w:gridSpan w:val="2"/>
                      </w:tcPr>
                      <w:p w:rsidR="00B458BE" w:rsidRDefault="00B458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67 לחוק העיקרי, במקום סעיף קטן (ב) יבוא:</w:t>
                        </w:r>
                      </w:p>
                      <w:p w:rsidR="00B458BE" w:rsidRDefault="00B458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שיעור התוספת יהיה מאה אחוזים מן הקנס או מחלקו שלא שולם,</w:t>
                        </w:r>
                      </w:p>
                      <w:p w:rsidR="00B458BE" w:rsidRDefault="00B458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הענין; בתום כל תקופה של ששה חדשים שעברו מן המועד הקבוע -</w:t>
                        </w:r>
                      </w:p>
                      <w:p w:rsidR="00B458BE" w:rsidRPr="00546C7E" w:rsidRDefault="00B458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מאה אחוזים נוספים מן הקנס או מחלקו כאמור." י</w:t>
                        </w:r>
                      </w:p>
                    </w:tc>
                    <w:tc>
                      <w:tcPr>
                        <w:tcW w:w="825" w:type="pct"/>
                      </w:tcPr>
                      <w:p w:rsidR="00B458BE" w:rsidRPr="00546C7E" w:rsidRDefault="00B458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67</w:t>
                        </w:r>
                      </w:p>
                    </w:tc>
                  </w:tr>
                  <w:tr w:rsidR="00B458BE" w:rsidRPr="00546C7E">
                    <w:trPr>
                      <w:jc w:val="right"/>
                    </w:trPr>
                    <w:tc>
                      <w:tcPr>
                        <w:tcW w:w="4175" w:type="pct"/>
                        <w:gridSpan w:val="2"/>
                      </w:tcPr>
                      <w:p w:rsidR="00B458BE" w:rsidRDefault="00B458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בפקודת הפרשנות 2, בסעיף 16, במקום "עשרת אלפים לירות" יבוא "הקנס הקבוע</w:t>
                        </w:r>
                      </w:p>
                      <w:p w:rsidR="00B458BE" w:rsidRPr="00546C7E" w:rsidRDefault="00B458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40(2) לחוק העונשין, התשל"ז-1977".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B458BE" w:rsidRDefault="00B458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פקודת</w:t>
                        </w:r>
                      </w:p>
                      <w:p w:rsidR="00B458BE" w:rsidRPr="00546C7E" w:rsidRDefault="00B458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הפרשנות</w:t>
                        </w:r>
                      </w:p>
                    </w:tc>
                  </w:tr>
                  <w:tr w:rsidR="00B458BE" w:rsidRPr="00546C7E">
                    <w:trPr>
                      <w:jc w:val="right"/>
                    </w:trPr>
                    <w:tc>
                      <w:tcPr>
                        <w:tcW w:w="4175" w:type="pct"/>
                        <w:gridSpan w:val="2"/>
                      </w:tcPr>
                      <w:p w:rsidR="00B458BE" w:rsidRDefault="00B458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בחוק סדר הדין הפלילי, התשכ"ה-1965 8, בסעיף 201א(ב), בכל מקום שבו נאמר</w:t>
                        </w:r>
                      </w:p>
                      <w:p w:rsidR="00B458BE" w:rsidRPr="00546C7E" w:rsidRDefault="00B458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"לירות" יבוא "שקלים".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B458BE" w:rsidRDefault="00B458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סדר</w:t>
                        </w:r>
                      </w:p>
                      <w:p w:rsidR="00B458BE" w:rsidRPr="00546C7E" w:rsidRDefault="00B458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הדין הפלילי</w:t>
                        </w:r>
                      </w:p>
                    </w:tc>
                  </w:tr>
                  <w:tr w:rsidR="00B458BE" w:rsidRPr="00546C7E">
                    <w:trPr>
                      <w:jc w:val="right"/>
                    </w:trPr>
                    <w:tc>
                      <w:tcPr>
                        <w:tcW w:w="4175" w:type="pct"/>
                        <w:gridSpan w:val="2"/>
                      </w:tcPr>
                      <w:p w:rsidR="00B458BE" w:rsidRDefault="00B458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בפקודת העיריות4, בסעיפים 254 ו-265(ב), בכל מקום שבו נאמר "לירות" יבוא</w:t>
                        </w:r>
                      </w:p>
                      <w:p w:rsidR="00B458BE" w:rsidRPr="00546C7E" w:rsidRDefault="00B458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"שקלים".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B458BE" w:rsidRDefault="00B458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פקודת</w:t>
                        </w:r>
                      </w:p>
                      <w:p w:rsidR="00B458BE" w:rsidRPr="00546C7E" w:rsidRDefault="00B458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העיריות</w:t>
                        </w:r>
                      </w:p>
                    </w:tc>
                  </w:tr>
                  <w:tr w:rsidR="00B458BE" w:rsidRPr="00546C7E">
                    <w:trPr>
                      <w:jc w:val="right"/>
                    </w:trPr>
                    <w:tc>
                      <w:tcPr>
                        <w:tcW w:w="4175" w:type="pct"/>
                        <w:gridSpan w:val="2"/>
                      </w:tcPr>
                      <w:p w:rsidR="00B458BE" w:rsidRDefault="00B458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בפקודת המועצות המקומיות5, בסעיפים 23 ו-26א, בכל מקום שבו נאמר "לירות"</w:t>
                        </w:r>
                      </w:p>
                      <w:p w:rsidR="00B458BE" w:rsidRPr="00546C7E" w:rsidRDefault="00B458B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''שקלים".</w:t>
                        </w:r>
                      </w:p>
                    </w:tc>
                    <w:tc>
                      <w:tcPr>
                        <w:tcW w:w="825" w:type="pct"/>
                      </w:tcPr>
                      <w:p w:rsidR="00B458BE" w:rsidRDefault="00B458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פקודת</w:t>
                        </w:r>
                      </w:p>
                      <w:p w:rsidR="00B458BE" w:rsidRDefault="00B458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המועצות</w:t>
                        </w:r>
                      </w:p>
                      <w:p w:rsidR="00B458BE" w:rsidRPr="00546C7E" w:rsidRDefault="00B458B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המקומיות</w:t>
                        </w:r>
                      </w:p>
                    </w:tc>
                  </w:tr>
                </w:tbl>
                <w:p w:rsidR="00B458BE" w:rsidRDefault="00B458B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480" o:spid="_x0000_s1028" type="#_x0000_t202" style="position:absolute;left:0;text-align:left;margin-left:163.1pt;margin-top:67.3pt;width:250.65pt;height:26.35pt;z-index:1;mso-wrap-style:none;mso-position-horizontal-relative:page;mso-position-vertical-relative:page" stroked="f">
            <v:textbox style="mso-next-textbox:#_x0000_s19480" inset="0,0,0,0">
              <w:txbxContent>
                <w:p w:rsidR="00B458BE" w:rsidRPr="00546C7E" w:rsidRDefault="00B458BE">
                  <w:pPr>
                    <w:pStyle w:val="OCRStyle1"/>
                    <w:ind w:left="32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הענשין (תיקון מס' 14), התשמ"ב-1982 *</w:t>
                  </w:r>
                </w:p>
              </w:txbxContent>
            </v:textbox>
            <w10:wrap anchorx="page" anchory="page"/>
          </v:shape>
        </w:pict>
      </w:r>
    </w:p>
    <w:p w:rsidR="00592794" w:rsidRDefault="00592794">
      <w:pPr>
        <w:rPr>
          <w:rtl/>
        </w:rPr>
      </w:pPr>
      <w:r>
        <w:rPr>
          <w:rtl/>
        </w:rPr>
        <w:br w:type="page"/>
      </w:r>
    </w:p>
    <w:p w:rsidR="00592794" w:rsidRDefault="00000000">
      <w:pPr>
        <w:rPr>
          <w:rtl/>
        </w:rPr>
      </w:pPr>
      <w:r>
        <w:pict>
          <v:shape id="_x0000_s19481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19481" inset="0,0,0,0">
              <w:txbxContent>
                <w:p w:rsidR="00B458BE" w:rsidRDefault="00B458BE">
                  <w:r>
                    <w:rPr>
                      <w:rtl/>
                    </w:rPr>
                    <w:t>173                                         ספר החוקים 1053                  ל' בסיוון התשמ"ב 21.06.1982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82" o:spid="_x0000_s1030" type="#_x0000_t202" style="position:absolute;left:0;text-align:left;margin-left:379.35pt;margin-top:700.45pt;width:168.7pt;height:36.05pt;z-index:10;mso-wrap-style:none;mso-position-horizontal-relative:page;mso-position-vertical-relative:page" stroked="f">
            <v:textbox style="mso-next-textbox:#_x0000_s19482" inset="0,0,0,0">
              <w:txbxContent>
                <w:p w:rsidR="00B458BE" w:rsidRDefault="00B458B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9483" o:spid="_x0000_s1031" type="#_x0000_t202" style="position:absolute;left:0;text-align:left;margin-left:310.45pt;margin-top:355.1pt;width:235.8pt;height:37.8pt;z-index:9;mso-wrap-style:none;mso-position-horizontal-relative:page;mso-position-vertical-relative:page" stroked="f">
            <v:textbox style="mso-next-textbox:#_x0000_s19483" inset="0,0,0,0">
              <w:txbxContent>
                <w:p w:rsidR="00B458BE" w:rsidRDefault="00B458BE">
                  <w:pPr>
                    <w:pStyle w:val="OCRStyle2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6 דיני מדינת ישראל, נוסח חדש 14, עמ' 312, ס''ח התש"ם, עמ' 62.</w:t>
                  </w:r>
                </w:p>
                <w:p w:rsidR="00B458BE" w:rsidRPr="00592794" w:rsidRDefault="00B458BE">
                  <w:pPr>
                    <w:pStyle w:val="OCRStyle2"/>
                    <w:ind w:left="18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ע"ר 1945, תוס' 2, עמ' .1055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84" o:spid="_x0000_s1032" type="#_x0000_t202" style="position:absolute;left:0;text-align:left;margin-left:186.5pt;margin-top:231.15pt;width:74.85pt;height:39.6pt;z-index:8;mso-wrap-style:none;mso-position-horizontal-relative:page;mso-position-vertical-relative:page" stroked="f">
            <v:textbox style="mso-next-textbox:#_x0000_s19484" inset="0,0,0,0">
              <w:txbxContent>
                <w:p w:rsidR="00B458BE" w:rsidRDefault="00B458BE">
                  <w:pPr>
                    <w:pStyle w:val="OCRStyle2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B458BE" w:rsidRDefault="00B458BE">
                  <w:pPr>
                    <w:pStyle w:val="OCRStyle2"/>
                    <w:ind w:left="133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85" o:spid="_x0000_s1033" type="#_x0000_t202" style="position:absolute;left:0;text-align:left;margin-left:288.9pt;margin-top:232.95pt;width:125.75pt;height:51.7pt;z-index:7;mso-wrap-style:none;mso-position-horizontal-relative:page;mso-position-vertical-relative:page" stroked="f">
            <v:textbox style="mso-next-textbox:#_x0000_s19485" inset="0,0,0,0">
              <w:txbxContent>
                <w:p w:rsidR="00B458BE" w:rsidRDefault="00B458BE">
                  <w:pPr>
                    <w:pStyle w:val="OCRStyle2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שמחה ארליך</w:t>
                  </w:r>
                </w:p>
                <w:p w:rsidR="00B458BE" w:rsidRDefault="00B458BE">
                  <w:pPr>
                    <w:pStyle w:val="OCRStyle2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סגן ראש הממשלה</w:t>
                  </w:r>
                </w:p>
                <w:p w:rsidR="00B458BE" w:rsidRDefault="00B458BE">
                  <w:pPr>
                    <w:pStyle w:val="OCRStyle2"/>
                    <w:ind w:left="133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86" o:spid="_x0000_s1034" type="#_x0000_t202" style="position:absolute;left:0;text-align:left;margin-left:441.35pt;margin-top:274.15pt;width:77.4pt;height:36.25pt;z-index:6;mso-wrap-style:none;mso-position-horizontal-relative:page;mso-position-vertical-relative:page" stroked="f">
            <v:textbox style="mso-next-textbox:#_x0000_s19486" inset="0,0,0,0">
              <w:txbxContent>
                <w:p w:rsidR="00B458BE" w:rsidRDefault="00B458BE">
                  <w:pPr>
                    <w:pStyle w:val="OCRStyle2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B458BE" w:rsidRDefault="00B458BE">
                  <w:pPr>
                    <w:pStyle w:val="OCRStyle2"/>
                    <w:ind w:left="17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87" o:spid="_x0000_s1035" type="#_x0000_t202" style="position:absolute;left:0;text-align:left;margin-left:93.45pt;margin-top:62.5pt;width:458.75pt;height:154.05pt;z-index:5;mso-wrap-style:none;mso-position-horizontal-relative:page;mso-position-vertical-relative:page" stroked="f">
            <v:textbox style="mso-next-textbox:#_x0000_s19487" inset="0,0,0,0">
              <w:txbxContent>
                <w:tbl>
                  <w:tblPr>
                    <w:tblW w:w="48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8"/>
                    <w:gridCol w:w="7103"/>
                  </w:tblGrid>
                  <w:tr w:rsidR="00B458BE" w:rsidRPr="00592794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B458BE" w:rsidRDefault="00B458B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פקודת</w:t>
                        </w:r>
                      </w:p>
                      <w:p w:rsidR="00B458BE" w:rsidRPr="00592794" w:rsidRDefault="00B458B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המבחן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B458BE" w:rsidRDefault="00B458B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בפקודת המבחן [נוסח חדש], התשכ"ט-61969 -</w:t>
                        </w:r>
                      </w:p>
                      <w:p w:rsidR="00B458BE" w:rsidRDefault="00B458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11(1), במקום "50,000 לירות" יבוא "הסכום הקבוע בסעיף 77</w:t>
                        </w:r>
                      </w:p>
                      <w:p w:rsidR="00B458BE" w:rsidRDefault="00B458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העונשין, התשל"ז-1977";</w:t>
                        </w:r>
                      </w:p>
                      <w:p w:rsidR="00B458BE" w:rsidRPr="00592794" w:rsidRDefault="00B458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20(2), המלים "150 לירות" - יימחקו.</w:t>
                        </w:r>
                      </w:p>
                    </w:tc>
                  </w:tr>
                  <w:tr w:rsidR="00B458BE" w:rsidRPr="00592794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B458BE" w:rsidRDefault="00B458B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תקנות</w:t>
                        </w:r>
                      </w:p>
                      <w:p w:rsidR="00B458BE" w:rsidRDefault="00B458B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ההגנה (שעת</w:t>
                        </w:r>
                      </w:p>
                      <w:p w:rsidR="00B458BE" w:rsidRPr="00592794" w:rsidRDefault="00B458B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חירום)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B458BE" w:rsidRDefault="00B458B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בתקנות ההגנה (שעת חירום), 1945  7, בתקנה 56א(2)(</w:t>
                        </w:r>
                        <w:r>
                          <w:rPr>
                            <w:sz w:val="18"/>
                            <w:szCs w:val="18"/>
                          </w:rPr>
                          <w:t>II</w:t>
                        </w:r>
                        <w:r>
                          <w:rPr>
                            <w:sz w:val="18"/>
                            <w:szCs w:val="18"/>
                            <w:rtl/>
                          </w:rPr>
                          <w:t>), במקום "מאתיים לירות"</w:t>
                        </w:r>
                      </w:p>
                      <w:p w:rsidR="00B458BE" w:rsidRPr="00592794" w:rsidRDefault="00B458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"הקנס הקבוע בסעיף 40(2) לחוק העונשין, התשל"ז-1977".</w:t>
                        </w:r>
                      </w:p>
                    </w:tc>
                  </w:tr>
                  <w:tr w:rsidR="00B458BE" w:rsidRPr="00592794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B458BE" w:rsidRPr="00592794" w:rsidRDefault="00B458B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תחייה</w:t>
                        </w:r>
                      </w:p>
                    </w:tc>
                    <w:tc>
                      <w:tcPr>
                        <w:tcW w:w="4258" w:type="pct"/>
                      </w:tcPr>
                      <w:p w:rsidR="00B458BE" w:rsidRPr="00592794" w:rsidRDefault="00B458B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תחילתו של סעיף 4 ביום י"ג באלול התשמ"ב (1 בספטמבר 1982).</w:t>
                        </w:r>
                      </w:p>
                    </w:tc>
                  </w:tr>
                </w:tbl>
                <w:p w:rsidR="00B458BE" w:rsidRDefault="00B458B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B458BE" w:rsidRDefault="00B458BE">
      <w:pPr>
        <w:rPr>
          <w:rtl/>
        </w:rPr>
      </w:pPr>
      <w:r>
        <w:rPr>
          <w:rtl/>
        </w:rPr>
        <w:br w:type="page"/>
      </w:r>
    </w:p>
    <w:p w:rsidR="00B458BE" w:rsidRDefault="00000000">
      <w:pPr>
        <w:rPr>
          <w:rtl/>
        </w:rPr>
      </w:pPr>
      <w:r>
        <w:pict>
          <v:shape id="_x0000_s19488" o:spid="_x0000_s1036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9488" inset="0,0,0,0">
              <w:txbxContent>
                <w:p w:rsidR="00B458BE" w:rsidRDefault="00B458BE">
                  <w:r>
                    <w:rPr>
                      <w:rtl/>
                    </w:rPr>
                    <w:t>174                                         ספר החוקים 1053                  ל' בסיוון התשמ"ב 21.06.1982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89" o:spid="_x0000_s1037" type="#_x0000_t202" style="position:absolute;left:0;text-align:left;margin-left:94.9pt;margin-top:715.15pt;width:139.6pt;height:31.7pt;z-index:12;mso-wrap-style:none;mso-position-horizontal-relative:page;mso-position-vertical-relative:page" stroked="f">
            <v:textbox style="mso-next-textbox:#_x0000_s19489" inset="0,0,0,0">
              <w:txbxContent>
                <w:p w:rsidR="00B458BE" w:rsidRDefault="00B458B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46C7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6C7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A73C6BB-CB91-4DED-9842-B110E25F1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46C7E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592794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B458B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2008-04-07T01:09:00Z</dcterms:created>
  <dcterms:modified xsi:type="dcterms:W3CDTF">2008-04-07T01:09:00Z</dcterms:modified>
</cp:coreProperties>
</file>