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5167" w:rsidRDefault="00535167">
      <w:pPr>
        <w:rPr>
          <w:rtl/>
        </w:rPr>
      </w:pPr>
    </w:p>
    <w:p w:rsidR="005351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64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641" inset="0,0,0,0">
              <w:txbxContent>
                <w:p w:rsidR="00535167" w:rsidRDefault="00535167">
                  <w:r>
                    <w:rPr>
                      <w:rtl/>
                    </w:rPr>
                    <w:t>42                                           ספר החוקים 495                כ"ה באדר ב' התשכ"ז 06.04.1967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42" o:spid="_x0000_s1026" type="#_x0000_t202" style="position:absolute;left:0;text-align:left;margin-left:84.05pt;margin-top:635.25pt;width:398pt;height:107.3pt;z-index:6;mso-wrap-style:none;mso-position-horizontal-relative:page;mso-position-vertical-relative:page" stroked="f">
            <v:textbox style="mso-next-textbox:#_x0000_s19642" inset="0,0,0,0">
              <w:txbxContent>
                <w:p w:rsidR="00535167" w:rsidRDefault="00535167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תשכ"ז (30 במרס 1967); הצעת החוק ודברי הסבר פורסמו בה"ח 705, תשכ"ז,</w:t>
                  </w:r>
                </w:p>
                <w:p w:rsidR="00535167" w:rsidRDefault="00535167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עמ' 6.</w:t>
                  </w:r>
                </w:p>
                <w:p w:rsidR="00535167" w:rsidRPr="00535167" w:rsidRDefault="00535167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1 ס''ח 235, תשי"ז, עמי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43" o:spid="_x0000_s1027" type="#_x0000_t202" style="position:absolute;left:0;text-align:left;margin-left:104.85pt;margin-top:540.4pt;width:121pt;height:35.45pt;z-index:5;mso-wrap-style:none;mso-position-horizontal-relative:page;mso-position-vertical-relative:page" stroked="f">
            <v:textbox style="mso-next-textbox:#_x0000_s19643" inset="0,0,0,0">
              <w:txbxContent>
                <w:p w:rsidR="00535167" w:rsidRDefault="00535167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יעקב ש  שפירא</w:t>
                  </w:r>
                </w:p>
                <w:p w:rsidR="00535167" w:rsidRDefault="00535167">
                  <w:pPr>
                    <w:pStyle w:val="OCRStyle1"/>
                    <w:ind w:left="63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44" o:spid="_x0000_s1028" type="#_x0000_t202" style="position:absolute;left:0;text-align:left;margin-left:238.3pt;margin-top:538.2pt;width:87.5pt;height:46.95pt;z-index:4;mso-wrap-style:none;mso-position-horizontal-relative:page;mso-position-vertical-relative:page" stroked="f">
            <v:textbox style="mso-next-textbox:#_x0000_s19644" inset="0,0,0,0">
              <w:txbxContent>
                <w:p w:rsidR="00535167" w:rsidRDefault="00535167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35167" w:rsidRDefault="00535167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45" o:spid="_x0000_s1029" type="#_x0000_t202" style="position:absolute;left:0;text-align:left;margin-left:349.8pt;margin-top:564.35pt;width:129.3pt;height:40.6pt;z-index:3;mso-wrap-style:none;mso-position-horizontal-relative:page;mso-position-vertical-relative:page" stroked="f">
            <v:textbox style="mso-next-textbox:#_x0000_s19645" inset="0,0,0,0">
              <w:txbxContent>
                <w:p w:rsidR="00535167" w:rsidRDefault="00535167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535167" w:rsidRDefault="00535167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46" o:spid="_x0000_s1030" type="#_x0000_t202" style="position:absolute;left:0;text-align:left;margin-left:88.2pt;margin-top:106.8pt;width:465.9pt;height:422.15pt;z-index:2;mso-wrap-style:none;mso-position-horizontal-relative:page;mso-position-vertical-relative:page" stroked="f">
            <v:textbox style="mso-next-textbox:#_x0000_s19646" inset="0,0,0,0">
              <w:txbxContent>
                <w:tbl>
                  <w:tblPr>
                    <w:tblW w:w="49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299"/>
                  </w:tblGrid>
                  <w:tr w:rsidR="00535167" w:rsidRPr="00535167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35167" w:rsidRDefault="0053516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חוק לתיקון דיני העונשין (בטחון המדינה), תשי"ז~11957 (להלן-החוק), ייקרא</w:t>
                        </w:r>
                      </w:p>
                      <w:p w:rsidR="00535167" w:rsidRP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דיני העונשין )בטחון המדינה, יחסי חוץ וסודות רשמיים(, תשי"ז-1957".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35167" w:rsidRP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 רחוק</w:t>
                        </w:r>
                      </w:p>
                    </w:tc>
                  </w:tr>
                  <w:tr w:rsidR="00535167" w:rsidRPr="00535167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בסעיף 24 לחוק -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שקיים ביודעין מגע עם סוכן זר ואין לו הסבר סביר לכך,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עשרה שנה";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אחרי סעיף קטן (ג) יבוא: 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"(ד) לא יורשע אדם לפי סעיף זה אט הוכח לבית המשפט שלא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ולא התכוון לעשות דבר שיש בו כדי להביא לידי פגיעה כבטחון</w:t>
                        </w:r>
                      </w:p>
                      <w:p w:rsidR="00535167" w:rsidRP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35167" w:rsidRP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535167" w:rsidRPr="00535167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27 לחוק -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"לאדם שלא היה מוסמך לקבלה" יבוא "וכן מי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שהגיעה אליו ידיעה בתוקף תפקידו כעובד הציבור, ולאחר שחדל מהיות עובד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מסרה, ללא סמכות כדין, לאדם שלא היה מוסמך לקבלה";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(1) לנאשם לפי סעיף קטן (א) תהא זו הגנה טובה שהידיעה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כבר פורסמה לרבים על"פי סמכות כדין או הועמדה לעיון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הרבים על-פי סמכות כדין.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לנאשם לפי סעיף קטן (א) בשל מסירת ידיעה לאחר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מהיות עובד הציבור תהא גם זו הגנה טובה שמסירת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הידיעה היתה כעבור חמש שנים מהיום שחדל מהיות עובד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ושהידיעה לא נגעה לבטחון המדינה או ליחסי חוץ</w:t>
                        </w:r>
                      </w:p>
                      <w:p w:rsid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ושבמסירת הידיעה לא היה משום פגיעה באינטרס</w:t>
                        </w:r>
                      </w:p>
                      <w:p w:rsidR="00535167" w:rsidRP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או בזכותו של פרט."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35167" w:rsidRPr="00535167" w:rsidRDefault="00535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</w:tbl>
                <w:p w:rsidR="00535167" w:rsidRDefault="005351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647" o:spid="_x0000_s1031" type="#_x0000_t202" style="position:absolute;left:0;text-align:left;margin-left:114.35pt;margin-top:77.7pt;width:355.2pt;height:25.95pt;z-index:1;mso-wrap-style:none;mso-position-horizontal-relative:page;mso-position-vertical-relative:page" stroked="f">
            <v:textbox style="mso-next-textbox:#_x0000_s19647" inset="0,0,0,0">
              <w:txbxContent>
                <w:p w:rsidR="00535167" w:rsidRPr="00535167" w:rsidRDefault="00535167">
                  <w:pPr>
                    <w:pStyle w:val="OCRStyle1"/>
                    <w:ind w:left="2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העונשין (בטחון המדינה) (תיקון), תשכ"ז-1967*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51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D8B6EE-47B7-4C0B-ACC1-189323FC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516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2008-04-09T13:57:00Z</dcterms:created>
  <dcterms:modified xsi:type="dcterms:W3CDTF">2008-04-09T13:57:00Z</dcterms:modified>
</cp:coreProperties>
</file>