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3889" w:rsidRDefault="00C33889">
      <w:pPr>
        <w:rPr>
          <w:rtl/>
        </w:rPr>
      </w:pPr>
    </w:p>
    <w:p w:rsidR="00C338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6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685" inset="0,0,0,0">
              <w:txbxContent>
                <w:p w:rsidR="00C33889" w:rsidRDefault="00C33889">
                  <w:r>
                    <w:rPr>
                      <w:rtl/>
                    </w:rPr>
                    <w:t>78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86" o:spid="_x0000_s1026" type="#_x0000_t202" style="position:absolute;left:0;text-align:left;margin-left:84.2pt;margin-top:670.6pt;width:395pt;height:78.4pt;z-index:6;mso-position-horizontal-relative:page;mso-position-vertical-relative:page" stroked="f">
            <v:textbox style="mso-next-textbox:#_x0000_s19686" inset="0,0,0,0">
              <w:txbxContent>
                <w:p w:rsidR="00C33889" w:rsidRDefault="00C3388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תשכ"ד (23 במרס 1964); הצעת החוק ודברי הסבר פורסמו בה''ח 590, תשכ''ד,</w:t>
                  </w:r>
                </w:p>
                <w:p w:rsidR="00C33889" w:rsidRDefault="00C33889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51.</w:t>
                  </w:r>
                </w:p>
                <w:p w:rsidR="00C33889" w:rsidRPr="00C33889" w:rsidRDefault="00C33889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87" o:spid="_x0000_s1027" type="#_x0000_t202" style="position:absolute;left:0;text-align:left;margin-left:115.1pt;margin-top:599.15pt;width:78.4pt;height:37.05pt;z-index:5;mso-position-horizontal-relative:page;mso-position-vertical-relative:page" stroked="f">
            <v:textbox style="mso-next-textbox:#_x0000_s19687" inset="0,0,0,0">
              <w:txbxContent>
                <w:p w:rsidR="00C33889" w:rsidRDefault="00C3388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33889" w:rsidRDefault="00C33889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88" o:spid="_x0000_s1028" type="#_x0000_t202" style="position:absolute;left:0;text-align:left;margin-left:226.2pt;margin-top:600.15pt;width:100.8pt;height:45.55pt;z-index:4;mso-position-horizontal-relative:page;mso-position-vertical-relative:page" stroked="f">
            <v:textbox style="mso-next-textbox:#_x0000_s19688" inset="0,0,0,0">
              <w:txbxContent>
                <w:p w:rsidR="00C33889" w:rsidRDefault="00C33889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33889" w:rsidRDefault="00C33889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89" o:spid="_x0000_s1029" type="#_x0000_t202" style="position:absolute;left:0;text-align:left;margin-left:361.4pt;margin-top:624.1pt;width:117.8pt;height:43.15pt;z-index:3;mso-position-horizontal-relative:page;mso-position-vertical-relative:page" stroked="f">
            <v:textbox style="mso-next-textbox:#_x0000_s19689" inset="0,0,0,0">
              <w:txbxContent>
                <w:p w:rsidR="00C33889" w:rsidRDefault="00C33889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33889" w:rsidRDefault="00C33889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90" o:spid="_x0000_s1030" type="#_x0000_t202" style="position:absolute;left:0;text-align:left;margin-left:91.95pt;margin-top:471.45pt;width:466.5pt;height:121.35pt;z-index:2;mso-position-horizontal-relative:page;mso-position-vertical-relative:page" stroked="f">
            <v:textbox style="mso-next-textbox:#_x0000_s1969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255"/>
                  </w:tblGrid>
                  <w:tr w:rsidR="00C33889" w:rsidRPr="00C33889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C33889" w:rsidRDefault="00C3388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.(א) המשתמש ברכב לנסיעה בלי נטילת רשות מבעל הרכב או ממי שהחזיק בו כדין,</w:t>
                        </w:r>
                      </w:p>
                      <w:p w:rsidR="00C33889" w:rsidRDefault="00C33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שנים.</w:t>
                        </w:r>
                      </w:p>
                      <w:p w:rsidR="00C33889" w:rsidRDefault="00C33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"רכב" לענין סעיף זה - רכב מנועי כמשמעותו בפקודת התעבורה 1, לרבות</w:t>
                        </w:r>
                      </w:p>
                      <w:p w:rsidR="00C33889" w:rsidRPr="00C33889" w:rsidRDefault="00C33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ספינה או סירה המונעים בכוח מיכני ועגלה הרתומה לבהמה.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33889" w:rsidRDefault="00C33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ברכב</w:t>
                        </w:r>
                      </w:p>
                      <w:p w:rsidR="00C33889" w:rsidRPr="00C33889" w:rsidRDefault="00C33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 רשות</w:t>
                        </w:r>
                      </w:p>
                    </w:tc>
                  </w:tr>
                  <w:tr w:rsidR="00C33889" w:rsidRPr="00C33889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C33889" w:rsidRDefault="00C33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25 (א) לפקודת התעבורה, לאחר פסקה (3) יבוא:</w:t>
                        </w:r>
                      </w:p>
                      <w:p w:rsidR="00C33889" w:rsidRDefault="00C33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עבירות על החוק לתיקון דיני העונשין (שימוש ברכב</w:t>
                        </w:r>
                      </w:p>
                      <w:p w:rsidR="00C33889" w:rsidRPr="00C33889" w:rsidRDefault="00C33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רשות), תשכ"ד-1964."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33889" w:rsidRDefault="00C33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מקוות</w:t>
                        </w:r>
                      </w:p>
                      <w:p w:rsidR="00C33889" w:rsidRPr="00C33889" w:rsidRDefault="00C33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התעבורה</w:t>
                        </w:r>
                      </w:p>
                    </w:tc>
                  </w:tr>
                </w:tbl>
                <w:p w:rsidR="00C33889" w:rsidRDefault="00C338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691" o:spid="_x0000_s1031" type="#_x0000_t202" style="position:absolute;left:0;text-align:left;margin-left:105.6pt;margin-top:435.6pt;width:370.25pt;height:31.1pt;z-index:1;mso-position-horizontal-relative:page;mso-position-vertical-relative:page" stroked="f">
            <v:textbox style="mso-next-textbox:#_x0000_s19691" inset="0,0,0,0">
              <w:txbxContent>
                <w:p w:rsidR="00C33889" w:rsidRPr="00C33889" w:rsidRDefault="00C33889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(שימוש ברכב בלי רשות),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38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2C90A1-3A10-45AD-A677-C64BCF6E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38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2008-04-06T20:02:00Z</dcterms:created>
  <dcterms:modified xsi:type="dcterms:W3CDTF">2008-04-06T20:02:00Z</dcterms:modified>
</cp:coreProperties>
</file>