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C17B5" w:rsidRDefault="00CC17B5">
      <w:pPr>
        <w:rPr>
          <w:rtl/>
        </w:rPr>
      </w:pPr>
    </w:p>
    <w:p w:rsidR="00CC17B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78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9783" inset="0,0,0,0">
              <w:txbxContent>
                <w:p w:rsidR="00163D67" w:rsidRDefault="00163D67">
                  <w:r>
                    <w:rPr>
                      <w:rtl/>
                    </w:rPr>
                    <w:t>44                                           ספר החוקים 679                   ט"ו בשבט התשל"ג 18.01.1973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84" o:spid="_x0000_s1026" type="#_x0000_t202" style="position:absolute;left:0;text-align:left;margin-left:83.25pt;margin-top:638.05pt;width:403.7pt;height:100pt;z-index:3;mso-position-horizontal-relative:page;mso-position-vertical-relative:page" stroked="f">
            <v:textbox style="mso-next-textbox:#_x0000_s19784" inset="0,0,0,0">
              <w:txbxContent>
                <w:p w:rsidR="00163D67" w:rsidRDefault="00163D67">
                  <w:pPr>
                    <w:pStyle w:val="OCRStyle1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בשבט תשל''ג (8 בינואר 1973); הצעת החוק ודברי הסבר פורסמו בה''ח 967, תשל"ב,</w:t>
                  </w:r>
                </w:p>
                <w:p w:rsidR="00163D67" w:rsidRDefault="00163D67">
                  <w:pPr>
                    <w:pStyle w:val="OCRStyle1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עמ' 75.</w:t>
                  </w:r>
                </w:p>
                <w:p w:rsidR="00163D67" w:rsidRPr="00CC17B5" w:rsidRDefault="00163D67">
                  <w:pPr>
                    <w:pStyle w:val="OCRStyle1"/>
                    <w:ind w:left="461"/>
                  </w:pPr>
                  <w:r>
                    <w:rPr>
                      <w:rtl/>
                    </w:rPr>
                    <w:t>1 ס"ח תש''ל, עמי 109; תשל''א, עמ' 122.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85" o:spid="_x0000_s1027" type="#_x0000_t202" style="position:absolute;left:0;text-align:left;margin-left:83.85pt;margin-top:99.1pt;width:477.2pt;height:537.35pt;z-index:2;mso-position-horizontal-relative:page;mso-position-vertical-relative:page" stroked="f">
            <v:textbox style="mso-next-textbox:#_x0000_s19785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44"/>
                    <w:gridCol w:w="1395"/>
                    <w:gridCol w:w="1435"/>
                  </w:tblGrid>
                  <w:tr w:rsidR="00163D67" w:rsidRPr="00CC17B5">
                    <w:trPr>
                      <w:jc w:val="right"/>
                    </w:trPr>
                    <w:tc>
                      <w:tcPr>
                        <w:tcW w:w="4173" w:type="pct"/>
                        <w:gridSpan w:val="2"/>
                      </w:tcPr>
                      <w:p w:rsidR="00163D67" w:rsidRDefault="00163D67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אחרי סעיף 32 לחוק דיני עונשין (דרכי ענישה) ננוסח משולב], תש"ל-1970 1</w:t>
                        </w:r>
                      </w:p>
                      <w:p w:rsidR="00163D67" w:rsidRPr="00CC17B5" w:rsidRDefault="00163D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החוק העיקרי), יבוא:</w:t>
                        </w:r>
                      </w:p>
                    </w:tc>
                    <w:tc>
                      <w:tcPr>
                        <w:tcW w:w="827" w:type="pct"/>
                      </w:tcPr>
                      <w:p w:rsidR="00163D67" w:rsidRDefault="00163D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163D67" w:rsidRPr="00CC17B5" w:rsidRDefault="00163D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32א עד 32ג</w:t>
                        </w:r>
                      </w:p>
                    </w:tc>
                  </w:tr>
                  <w:tr w:rsidR="00163D67">
                    <w:trPr>
                      <w:jc w:val="right"/>
                    </w:trPr>
                    <w:tc>
                      <w:tcPr>
                        <w:tcW w:w="3369" w:type="pct"/>
                      </w:tcPr>
                      <w:p w:rsidR="00163D67" w:rsidRDefault="00163D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32א. (א) קנס שלא שולם, כולו או מקצתו, במועד הקבוע, תיווסף עליו</w:t>
                        </w:r>
                      </w:p>
                      <w:p w:rsidR="00163D67" w:rsidRDefault="00163D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פיגור (להלן - התוספת).</w:t>
                        </w:r>
                      </w:p>
                      <w:p w:rsidR="00163D67" w:rsidRDefault="00163D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שיעור התוספת יהיה עשרה אחוזים מן הקנס או מחלקו שלא</w:t>
                        </w:r>
                      </w:p>
                      <w:p w:rsidR="00163D67" w:rsidRDefault="00163D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שולם, לפי הענין, ולא פחות מעשר לירות, ובתום כל תקופה של ששה</w:t>
                        </w:r>
                      </w:p>
                      <w:p w:rsidR="00163D67" w:rsidRDefault="00163D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שעברו מן המועד הקבוע - עשרה אחוזים נוספים מן הקנס או</w:t>
                        </w:r>
                      </w:p>
                      <w:p w:rsidR="00163D67" w:rsidRDefault="00163D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מחלקו כאמור, ולא פחות מעשר לירות.</w:t>
                        </w:r>
                      </w:p>
                      <w:p w:rsidR="00163D67" w:rsidRDefault="00163D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המועד הקבוע לענין סעיף זה הוא כאמור בסעיף 32, ואם</w:t>
                        </w:r>
                      </w:p>
                      <w:p w:rsidR="00163D67" w:rsidRDefault="00163D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הוטל הקנס שלא במעמד הנאשם או סניגורו - שלושים יום מיום שנשלחה</w:t>
                        </w:r>
                      </w:p>
                      <w:p w:rsidR="00163D67" w:rsidRDefault="00163D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בדואר לנאשם הודעה על גזר הדין או שהומצאה לו בדרך שכה ניתן</w:t>
                        </w:r>
                      </w:p>
                      <w:p w:rsidR="00163D67" w:rsidRDefault="00163D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להמציא מסמכים על פי דין.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163D67" w:rsidRDefault="00163D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"תוספת פיגור</w:t>
                        </w:r>
                      </w:p>
                      <w:p w:rsidR="00163D67" w:rsidRPr="00CC17B5" w:rsidRDefault="00163D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אי חשלום קנם</w:t>
                        </w:r>
                      </w:p>
                    </w:tc>
                    <w:tc>
                      <w:tcPr>
                        <w:tcW w:w="827" w:type="pct"/>
                      </w:tcPr>
                      <w:p w:rsidR="00163D67" w:rsidRDefault="00163D6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163D67">
                    <w:trPr>
                      <w:jc w:val="right"/>
                    </w:trPr>
                    <w:tc>
                      <w:tcPr>
                        <w:tcW w:w="3369" w:type="pct"/>
                      </w:tcPr>
                      <w:p w:rsidR="00163D67" w:rsidRDefault="00163D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32ב. (א) לענין גביה, דין התוספת כדין הקנס, אולם סעיף 34 לא יחול</w:t>
                        </w:r>
                      </w:p>
                      <w:p w:rsidR="00163D67" w:rsidRDefault="00163D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התוספת.</w:t>
                        </w:r>
                      </w:p>
                      <w:p w:rsidR="00163D67" w:rsidRDefault="00163D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סכום ששולם או נגבה על חשבון קנס שנתווספה עליו תוספת,</w:t>
                        </w:r>
                      </w:p>
                      <w:p w:rsidR="00163D67" w:rsidRDefault="00163D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ייזקף תחילה על חשבון התוספת.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163D67" w:rsidRPr="00CC17B5" w:rsidRDefault="00163D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גביית התוספת</w:t>
                        </w:r>
                      </w:p>
                    </w:tc>
                    <w:tc>
                      <w:tcPr>
                        <w:tcW w:w="827" w:type="pct"/>
                      </w:tcPr>
                      <w:p w:rsidR="00163D67" w:rsidRDefault="00163D6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163D67">
                    <w:trPr>
                      <w:jc w:val="right"/>
                    </w:trPr>
                    <w:tc>
                      <w:tcPr>
                        <w:tcW w:w="3369" w:type="pct"/>
                      </w:tcPr>
                      <w:p w:rsidR="00163D67" w:rsidRDefault="00163D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32ג. (א) בית המשפט או הרשם רשאים לפטור אדם, על פי בקשתו,</w:t>
                        </w:r>
                      </w:p>
                      <w:p w:rsidR="00163D67" w:rsidRDefault="00163D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מתשלום התוספת, כולה או מקצתה, אם שוכנעו שהיו סיבות סבירות לאי</w:t>
                        </w:r>
                      </w:p>
                      <w:p w:rsidR="00163D67" w:rsidRDefault="00163D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הקנס או חלק ממנו במועד הקבוע.</w:t>
                        </w:r>
                      </w:p>
                      <w:p w:rsidR="00163D67" w:rsidRDefault="00163D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הבקשה לפטור תהיה בכתב, ותהיה נתמכת בתצהיר המאמת</w:t>
                        </w:r>
                      </w:p>
                      <w:p w:rsidR="00163D67" w:rsidRDefault="00163D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העובדות המפורטות בה; בית המשפט או הרשם רשאים להחליט</w:t>
                        </w:r>
                      </w:p>
                      <w:p w:rsidR="00163D67" w:rsidRDefault="00163D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בבקשה על יסוד התצהיר בלבד, או במעמד המבקש בלבד.</w:t>
                        </w:r>
                      </w:p>
                      <w:p w:rsidR="00163D67" w:rsidRDefault="00163D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החלטת בית המשפט או הרשם ניתנת לערעור כהחלטה אחרת</w:t>
                        </w:r>
                      </w:p>
                      <w:p w:rsidR="00163D67" w:rsidRDefault="00163D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אותו בית משפט בענין אזרחי, אם ניתנה רשות על כך מאת נותן</w:t>
                        </w:r>
                      </w:p>
                      <w:p w:rsidR="00163D67" w:rsidRDefault="00163D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ההחלטה."</w:t>
                        </w:r>
                      </w:p>
                    </w:tc>
                    <w:tc>
                      <w:tcPr>
                        <w:tcW w:w="804" w:type="pct"/>
                      </w:tcPr>
                      <w:p w:rsidR="00163D67" w:rsidRDefault="00163D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מתשלום</w:t>
                        </w:r>
                      </w:p>
                      <w:p w:rsidR="00163D67" w:rsidRPr="00CC17B5" w:rsidRDefault="00163D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התוספת</w:t>
                        </w:r>
                      </w:p>
                    </w:tc>
                    <w:tc>
                      <w:tcPr>
                        <w:tcW w:w="827" w:type="pct"/>
                      </w:tcPr>
                      <w:p w:rsidR="00163D67" w:rsidRDefault="00163D6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163D67" w:rsidRPr="00CC17B5">
                    <w:trPr>
                      <w:jc w:val="right"/>
                    </w:trPr>
                    <w:tc>
                      <w:tcPr>
                        <w:tcW w:w="4173" w:type="pct"/>
                        <w:gridSpan w:val="2"/>
                      </w:tcPr>
                      <w:p w:rsidR="00163D67" w:rsidRDefault="00163D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34 לחוק העיקרי, סעיפים קטנים (כ) ו-(ג) יסומנו כסדרם (ד) ו-(ה) ולפניהם</w:t>
                        </w:r>
                      </w:p>
                      <w:p w:rsidR="00163D67" w:rsidRDefault="00163D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163D67" w:rsidRDefault="00163D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לא יינתן צו מאסר לביצוע מאסר שהוטל על פי סעיף קטן (א)</w:t>
                        </w:r>
                      </w:p>
                      <w:p w:rsidR="00163D67" w:rsidRDefault="00163D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גזר הדין שהטיל את הקנס ניתן במעמד הנאשם או סניגורו או,</w:t>
                        </w:r>
                      </w:p>
                      <w:p w:rsidR="00163D67" w:rsidRDefault="00163D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ניתן שלא במעמד הנאשם או סניגורו, נשלחה בדואר לנאשם הודעה</w:t>
                        </w:r>
                      </w:p>
                      <w:p w:rsidR="00163D67" w:rsidRPr="00CC17B5" w:rsidRDefault="00163D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גזר הדין או שהומצאה לו בדרך שבה ניתן להמציא מסמכים על פי דין.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163D67" w:rsidRPr="00CC17B5" w:rsidRDefault="00163D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34</w:t>
                        </w:r>
                      </w:p>
                    </w:tc>
                  </w:tr>
                </w:tbl>
                <w:p w:rsidR="00163D67" w:rsidRDefault="00163D6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786" o:spid="_x0000_s1028" type="#_x0000_t202" style="position:absolute;left:0;text-align:left;margin-left:118.5pt;margin-top:77.1pt;width:355.4pt;height:16.05pt;z-index:1;mso-position-horizontal-relative:page;mso-position-vertical-relative:page" stroked="f">
            <v:textbox style="mso-next-textbox:#_x0000_s19786" inset="0,0,0,0">
              <w:txbxContent>
                <w:p w:rsidR="00163D67" w:rsidRPr="00CC17B5" w:rsidRDefault="00163D67">
                  <w:pPr>
                    <w:pStyle w:val="OCRStyle1"/>
                    <w:ind w:left="49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דיני עונשין (דרכי ענישה) (תיקון מס' 2), תשל"ג-1973 *</w:t>
                  </w:r>
                </w:p>
              </w:txbxContent>
            </v:textbox>
            <w10:wrap anchorx="page" anchory="page"/>
          </v:shape>
        </w:pict>
      </w:r>
    </w:p>
    <w:p w:rsidR="00163D67" w:rsidRDefault="00163D67">
      <w:pPr>
        <w:rPr>
          <w:rtl/>
        </w:rPr>
      </w:pPr>
      <w:r>
        <w:rPr>
          <w:rtl/>
        </w:rPr>
        <w:br w:type="page"/>
      </w:r>
    </w:p>
    <w:p w:rsidR="00163D67" w:rsidRDefault="00000000">
      <w:pPr>
        <w:rPr>
          <w:rtl/>
        </w:rPr>
      </w:pPr>
      <w:r>
        <w:pict>
          <v:shape id="_x0000_s19787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9787" inset="0,0,0,0">
              <w:txbxContent>
                <w:p w:rsidR="00163D67" w:rsidRDefault="00163D67">
                  <w:r>
                    <w:rPr>
                      <w:rtl/>
                    </w:rPr>
                    <w:t>45                                           ספר החוקים 679                   ט"ו בשבט התשל"ג 18.01.1973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88" o:spid="_x0000_s1030" type="#_x0000_t202" style="position:absolute;left:0;text-align:left;margin-left:167.55pt;margin-top:188.35pt;width:110.1pt;height:37.8pt;z-index:8;mso-position-horizontal-relative:page;mso-position-vertical-relative:page" stroked="f">
            <v:textbox style="mso-next-textbox:#_x0000_s19788" inset="0,0,0,0">
              <w:txbxContent>
                <w:p w:rsidR="00163D67" w:rsidRDefault="00163D67">
                  <w:pPr>
                    <w:pStyle w:val="OCRStyle2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163D67" w:rsidRDefault="00163D67">
                  <w:pPr>
                    <w:pStyle w:val="OCRStyle2"/>
                    <w:ind w:left="425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89" o:spid="_x0000_s1031" type="#_x0000_t202" style="position:absolute;left:0;text-align:left;margin-left:300pt;margin-top:184pt;width:90.5pt;height:47.3pt;z-index:7;mso-position-horizontal-relative:page;mso-position-vertical-relative:page" stroked="f">
            <v:textbox style="mso-next-textbox:#_x0000_s19789" inset="0,0,0,0">
              <w:txbxContent>
                <w:p w:rsidR="00163D67" w:rsidRDefault="00163D67">
                  <w:pPr>
                    <w:pStyle w:val="OCRStyle2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163D67" w:rsidRDefault="00163D67">
                  <w:pPr>
                    <w:pStyle w:val="OCRStyle2"/>
                    <w:ind w:left="26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90" o:spid="_x0000_s1032" type="#_x0000_t202" style="position:absolute;left:0;text-align:left;margin-left:424.95pt;margin-top:218.45pt;width:121.35pt;height:37.05pt;z-index:6;mso-position-horizontal-relative:page;mso-position-vertical-relative:page" stroked="f">
            <v:textbox style="mso-next-textbox:#_x0000_s19790" inset="0,0,0,0">
              <w:txbxContent>
                <w:p w:rsidR="00163D67" w:rsidRDefault="00163D67">
                  <w:pPr>
                    <w:pStyle w:val="OCRStyle2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163D67" w:rsidRDefault="00163D67">
                  <w:pPr>
                    <w:pStyle w:val="OCRStyle2"/>
                    <w:ind w:left="66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91" o:spid="_x0000_s1033" type="#_x0000_t202" style="position:absolute;left:0;text-align:left;margin-left:114.05pt;margin-top:72.15pt;width:438.15pt;height:109.3pt;z-index:5;mso-position-horizontal-relative:page;mso-position-vertical-relative:page" stroked="f">
            <v:textbox style="mso-next-textbox:#_x0000_s19791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0"/>
                    <w:gridCol w:w="7107"/>
                  </w:tblGrid>
                  <w:tr w:rsidR="00163D67">
                    <w:trPr>
                      <w:jc w:val="right"/>
                    </w:trPr>
                    <w:tc>
                      <w:tcPr>
                        <w:tcW w:w="540" w:type="pct"/>
                      </w:tcPr>
                      <w:p w:rsidR="00163D67" w:rsidRDefault="00163D6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460" w:type="pct"/>
                      </w:tcPr>
                      <w:p w:rsidR="00163D67" w:rsidRDefault="00163D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נשא אדם מאסר לפי סעיף קטן (א), לא יחוייב בתשלום הקנס</w:t>
                        </w:r>
                      </w:p>
                      <w:p w:rsidR="00163D67" w:rsidRDefault="00163D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והתוספת: נשא חלק מתקופת המאסר, תחושב התוספת שיהא חייב כה לפי</w:t>
                        </w:r>
                      </w:p>
                      <w:p w:rsidR="00163D67" w:rsidRDefault="00163D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חלק מן הקנס שלא נשא עליו מאסר."</w:t>
                        </w:r>
                      </w:p>
                    </w:tc>
                  </w:tr>
                  <w:tr w:rsidR="00163D67" w:rsidRPr="00163D67">
                    <w:trPr>
                      <w:jc w:val="right"/>
                    </w:trPr>
                    <w:tc>
                      <w:tcPr>
                        <w:tcW w:w="540" w:type="pct"/>
                      </w:tcPr>
                      <w:p w:rsidR="00163D67" w:rsidRPr="00163D67" w:rsidRDefault="00163D6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460" w:type="pct"/>
                      </w:tcPr>
                      <w:p w:rsidR="00163D67" w:rsidRDefault="00163D6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תחילתו של חוק זה היא ביום כ"ח באדר ב' תשל"ג (1 באפריל 1973), והוא יחול</w:t>
                        </w:r>
                      </w:p>
                      <w:p w:rsidR="00163D67" w:rsidRPr="00163D67" w:rsidRDefault="00163D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רק על קנסות שהוטלו לאחר תחילתו.</w:t>
                        </w:r>
                      </w:p>
                    </w:tc>
                  </w:tr>
                </w:tbl>
                <w:p w:rsidR="00163D67" w:rsidRDefault="00163D6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C17B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916819E-5037-4E12-909F-86CD1953D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C17B5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163D6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2008-04-06T21:58:00Z</dcterms:created>
  <dcterms:modified xsi:type="dcterms:W3CDTF">2008-04-06T21:58:00Z</dcterms:modified>
</cp:coreProperties>
</file>