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F3E05" w:rsidRDefault="00FF3E05">
      <w:pPr>
        <w:rPr>
          <w:rtl/>
        </w:rPr>
      </w:pPr>
    </w:p>
    <w:p w:rsidR="00FF3E0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79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9792" inset="0,0,0,0">
              <w:txbxContent>
                <w:p w:rsidR="00FF3E05" w:rsidRDefault="00FF3E05">
                  <w:r>
                    <w:rPr>
                      <w:rtl/>
                    </w:rPr>
                    <w:t>122                                          ספר החוקים 626                   ח' בתמוז התשל"א 01.07.1971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93" o:spid="_x0000_s1026" type="#_x0000_t202" style="position:absolute;left:0;text-align:left;margin-left:76.3pt;margin-top:696.95pt;width:165.35pt;height:48.3pt;z-index:7;mso-wrap-style:none;mso-position-horizontal-relative:page;mso-position-vertical-relative:page" stroked="f">
            <v:textbox style="mso-next-textbox:#_x0000_s19793" inset="0,0,0,0">
              <w:txbxContent>
                <w:p w:rsidR="00FF3E05" w:rsidRDefault="00FF3E05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סטר החוקים 626, ח' בתמוז תשל"א, 1.7.1971</w:t>
                  </w:r>
                </w:p>
                <w:p w:rsidR="00FF3E05" w:rsidRPr="00FF3E05" w:rsidRDefault="00FF3E05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94" o:spid="_x0000_s1027" type="#_x0000_t202" style="position:absolute;left:0;text-align:left;margin-left:75.3pt;margin-top:562.7pt;width:381.35pt;height:52.45pt;z-index:6;mso-wrap-style:none;mso-position-horizontal-relative:page;mso-position-vertical-relative:page" stroked="f">
            <v:textbox style="mso-next-textbox:#_x0000_s19794" inset="0,0,0,0">
              <w:txbxContent>
                <w:p w:rsidR="00FF3E05" w:rsidRDefault="00FF3E05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בסיון תשל"א (22 ביוני 1971); הצעת החוק ודברי הסבר פורסמו בה"ח 843, תשל''א,</w:t>
                  </w:r>
                </w:p>
                <w:p w:rsidR="00FF3E05" w:rsidRDefault="00FF3E05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עמ' 230.</w:t>
                  </w:r>
                </w:p>
                <w:p w:rsidR="00FF3E05" w:rsidRPr="00FF3E05" w:rsidRDefault="00FF3E05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1 ס"ח תש''ל, עמ' 109.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95" o:spid="_x0000_s1028" type="#_x0000_t202" style="position:absolute;left:0;text-align:left;margin-left:334.5pt;margin-top:226.9pt;width:135.25pt;height:43.95pt;z-index:5;mso-wrap-style:none;mso-position-horizontal-relative:page;mso-position-vertical-relative:page" stroked="f">
            <v:textbox style="mso-next-textbox:#_x0000_s19795" inset="0,0,0,0">
              <w:txbxContent>
                <w:p w:rsidR="00FF3E05" w:rsidRDefault="00FF3E05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FF3E05" w:rsidRDefault="00FF3E05">
                  <w:pPr>
                    <w:pStyle w:val="OCRStyle1"/>
                    <w:ind w:left="74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96" o:spid="_x0000_s1029" type="#_x0000_t202" style="position:absolute;left:0;text-align:left;margin-left:92.5pt;margin-top:184.7pt;width:118pt;height:34.45pt;z-index:4;mso-wrap-style:none;mso-position-horizontal-relative:page;mso-position-vertical-relative:page" stroked="f">
            <v:textbox style="mso-next-textbox:#_x0000_s19796" inset="0,0,0,0">
              <w:txbxContent>
                <w:p w:rsidR="00FF3E05" w:rsidRDefault="00FF3E05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FF3E05" w:rsidRDefault="00FF3E05">
                  <w:pPr>
                    <w:pStyle w:val="OCRStyle1"/>
                    <w:ind w:left="67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97" o:spid="_x0000_s1030" type="#_x0000_t202" style="position:absolute;left:0;text-align:left;margin-left:222.6pt;margin-top:183.9pt;width:95.45pt;height:32.65pt;z-index:3;mso-wrap-style:none;mso-position-horizontal-relative:page;mso-position-vertical-relative:page" stroked="f">
            <v:textbox style="mso-next-textbox:#_x0000_s19797" inset="0,0,0,0">
              <w:txbxContent>
                <w:p w:rsidR="00FF3E05" w:rsidRDefault="00FF3E05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FF3E05" w:rsidRDefault="00FF3E05">
                  <w:pPr>
                    <w:pStyle w:val="OCRStyle1"/>
                    <w:ind w:left="42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98" o:spid="_x0000_s1031" type="#_x0000_t202" style="position:absolute;left:0;text-align:left;margin-left:76.3pt;margin-top:106.5pt;width:463.9pt;height:62.75pt;z-index:2;mso-wrap-style:none;mso-position-horizontal-relative:page;mso-position-vertical-relative:page" stroked="f">
            <v:textbox style="mso-next-textbox:#_x0000_s19798" inset="0,0,0,0">
              <w:txbxContent>
                <w:tbl>
                  <w:tblPr>
                    <w:tblW w:w="494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2"/>
                    <w:gridCol w:w="1282"/>
                  </w:tblGrid>
                  <w:tr w:rsidR="00FF3E05" w:rsidRPr="00FF3E05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FF3E05" w:rsidRDefault="00FF3E05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דיני עונשין (דרכי ענישה) [נוסח משולב], תש"ל-1970 1, בסעיף 43, במקום</w:t>
                        </w:r>
                      </w:p>
                      <w:p w:rsidR="00FF3E05" w:rsidRDefault="00FF3E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"ישלם לנאשם את הוצאות הגנתו בסכום שקבע בית המשפט" יבוא "ישלם לנאשם הוצאות</w:t>
                        </w:r>
                      </w:p>
                      <w:p w:rsidR="00FF3E05" w:rsidRPr="00FF3E05" w:rsidRDefault="00FF3E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הגנתו ופיצוי על מעצרו או מאסרו בשל האשמה שממנה זוכה, בסכום שייראה לבית המשפט".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FF3E05" w:rsidRPr="00FF3E05" w:rsidRDefault="00FF3E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43</w:t>
                        </w:r>
                      </w:p>
                    </w:tc>
                  </w:tr>
                </w:tbl>
                <w:p w:rsidR="00FF3E05" w:rsidRDefault="00FF3E0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799" o:spid="_x0000_s1032" type="#_x0000_t202" style="position:absolute;left:0;text-align:left;margin-left:103pt;margin-top:80.55pt;width:315.8pt;height:24.15pt;z-index:1;mso-wrap-style:none;mso-position-horizontal-relative:page;mso-position-vertical-relative:page" stroked="f">
            <v:textbox style="mso-next-textbox:#_x0000_s19799" inset="0,0,0,0">
              <w:txbxContent>
                <w:p w:rsidR="00FF3E05" w:rsidRPr="00FF3E05" w:rsidRDefault="00FF3E05">
                  <w:pPr>
                    <w:pStyle w:val="OCRStyle1"/>
                    <w:ind w:left="21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דיני עונשין (דרכי ענישה) (תיקון), תשל"א-1971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F3E0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3E0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1528A7F-AD13-4BD7-A4D4-98A73F01B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F3E0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2008-04-09T15:01:00Z</dcterms:created>
  <dcterms:modified xsi:type="dcterms:W3CDTF">2008-04-09T15:01:00Z</dcterms:modified>
</cp:coreProperties>
</file>