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0A5D" w:rsidRDefault="00E20A5D">
      <w:pPr>
        <w:rPr>
          <w:rtl/>
        </w:rPr>
      </w:pPr>
    </w:p>
    <w:p w:rsidR="00E20A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8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810" inset="0,0,0,0">
              <w:txbxContent>
                <w:p w:rsidR="0028114F" w:rsidRDefault="0028114F">
                  <w:r>
                    <w:rPr>
                      <w:rtl/>
                    </w:rPr>
                    <w:t>80                                           ספר החוקים 394                 כ"א בסיוון התשכ"ג 13.06.1963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11" o:spid="_x0000_s1026" type="#_x0000_t202" style="position:absolute;left:0;text-align:left;margin-left:72.25pt;margin-top:673.65pt;width:395pt;height:78.4pt;z-index:3;mso-position-horizontal-relative:page;mso-position-vertical-relative:page" stroked="f">
            <v:textbox style="mso-next-textbox:#_x0000_s19811" inset="0,0,0,0">
              <w:txbxContent>
                <w:p w:rsidR="0028114F" w:rsidRDefault="0028114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בסיון תשכ''ג (4 ביוני 1963); הצעת החוק ודברי הסבר פורסמו בה"ח 522, תשכ"ב,</w:t>
                  </w:r>
                </w:p>
                <w:p w:rsidR="0028114F" w:rsidRDefault="0028114F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עמ' 246.</w:t>
                  </w:r>
                </w:p>
                <w:p w:rsidR="0028114F" w:rsidRPr="00E20A5D" w:rsidRDefault="0028114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1 ס"ח תשי"ד, עמ' 234; תשט"ו, עמי 229; תשכ"א, עמ' 19; תשכ"א, עמי 24; תשכ"א, עמ' 115.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12" o:spid="_x0000_s1027" type="#_x0000_t202" style="position:absolute;left:0;text-align:left;margin-left:80.75pt;margin-top:110.55pt;width:468.25pt;height:562.3pt;z-index:2;mso-position-horizontal-relative:page;mso-position-vertical-relative:page" stroked="f">
            <v:textbox style="mso-next-textbox:#_x0000_s198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9"/>
                    <w:gridCol w:w="1345"/>
                    <w:gridCol w:w="1451"/>
                  </w:tblGrid>
                  <w:tr w:rsidR="0028114F" w:rsidRPr="00E20A5D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8114F" w:rsidRDefault="0028114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10 לחוק לתיקון דיני העונשין (דרכי ענישה)/ תשי"ד -1954  1(להלן - החוק)/</w:t>
                        </w:r>
                      </w:p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(2)/ במקום "מאסר עד שנה אחת או" יבוא "מאסר כפי שנקבע או".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28114F" w:rsidRPr="00E20A5D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11 לחוק יבוא: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28114F">
                    <w:trPr>
                      <w:jc w:val="right"/>
                    </w:trPr>
                    <w:tc>
                      <w:tcPr>
                        <w:tcW w:w="3358" w:type="pct"/>
                      </w:tcPr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בשל עבירה שנתכוון בה הנאשם לגרום נזק ממון לאחר או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טובת הנאה לעצמו או לאחר, רשאי בית המשפט להטיל על הנאשם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פי שלושה משווים של הנזק שנגרם או של טובת ההנאה שהושגה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העבירה, או את הקנס שנקבע בחיקוק, הכל לפי הסכום הגדול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בקביעת סכום הקנס לפי סעיף זה רשאי בית המשפט להתחשב,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השאר, בהשפעה שתהיה לסילוק הקנס על יכלתו של הנאשם לפצות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הניזוק בשל הנזק שנגרם לו על ידי העבירה,"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''קנס לפי שווי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 או טובת</w:t>
                        </w:r>
                      </w:p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ההנאה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8114F" w:rsidRPr="00E20A5D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14 לחוק יבוא: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28114F">
                    <w:trPr>
                      <w:jc w:val="right"/>
                    </w:trPr>
                    <w:tc>
                      <w:tcPr>
                        <w:tcW w:w="3358" w:type="pct"/>
                      </w:tcPr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מי שהורשע בשל עבירה פלונית וביקש שבית המשפט ידון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גם בשל עבירות אחרות שהוא מודה שעבר אותן, רשאי ליה המשפט,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לקטיגור הזדמנות להשמיע טענותיו לענין זה, להרשיעו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ולהענישו, או להעמידו במבחן, בשל כל אחת מן העבירות האחרות.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יב) לא ישתמש בית המשפט בסמכותו לפי סעיף זה אלא לגבי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שהן בסמכותו הענינית ושהוא מוסמך לדון בהן בהרכב שבו הוא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יושב, אולם בית משפט מחוזי רשאי לעשות כן גם לגבי עוונות וחטאים.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אדם לפי סעיף זה על אף התנגדותו של הקטיגור,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הקטיגוריה לערער על הרשעה זו.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השתמש בית המשפט בסמכותו לפי סעיף זה ובערעור על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דינו בוטלה ההרשעה בשל העבירה שהנאשם הואשם בה, אין בכך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לפגוע בהרשעה ובגזר הדין בשל העבירות האחרות,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 "עבירות אחרות" - בין שהוגש עליהן כתב אישום,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שטרם הוגש ובלבד שפרטי העבירות צויינו במידה הדרושה כדי</w:t>
                        </w:r>
                      </w:p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לזהותן."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אחרות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שהודה בהן</w:t>
                        </w:r>
                      </w:p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8114F" w:rsidRPr="00E20A5D">
                    <w:trPr>
                      <w:jc w:val="right"/>
                    </w:trPr>
                    <w:tc>
                      <w:tcPr>
                        <w:tcW w:w="4148" w:type="pct"/>
                        <w:gridSpan w:val="2"/>
                      </w:tcPr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במקום סעיף 15 לחוק יבוא: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טעיף 15</w:t>
                        </w:r>
                      </w:p>
                    </w:tc>
                  </w:tr>
                  <w:tr w:rsidR="0028114F">
                    <w:trPr>
                      <w:jc w:val="right"/>
                    </w:trPr>
                    <w:tc>
                      <w:tcPr>
                        <w:tcW w:w="3358" w:type="pct"/>
                      </w:tcPr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מי שנידון במשפט אחד לענשי מאסר בשל עבירות שונות,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הורה בית המשפט שישאם, כולם או מקצתם, בזה אחר זה, לא ישא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את עונש המאסר של התקופה הארוכה ביותר. 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למאסר ולפני שנשא כל ענשו חזר ונידון למאסר,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המשפט שדן אותו באחרונה לא הורה שישא את ענשי המאסר,</w:t>
                        </w:r>
                      </w:p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מקצתם, בזה אחר זה, לא ישא אלא עונש מאסר אחד והוא של</w:t>
                        </w:r>
                      </w:p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הארוכה ביותר.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8114F" w:rsidRPr="00E20A5D" w:rsidRDefault="002811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חופף</w:t>
                        </w:r>
                      </w:p>
                    </w:tc>
                    <w:tc>
                      <w:tcPr>
                        <w:tcW w:w="852" w:type="pct"/>
                      </w:tcPr>
                      <w:p w:rsidR="0028114F" w:rsidRDefault="002811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8114F" w:rsidRDefault="002811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13" o:spid="_x0000_s1028" type="#_x0000_t202" style="position:absolute;left:0;text-align:left;margin-left:84.3pt;margin-top:85.6pt;width:433.8pt;height:16.45pt;z-index:1;mso-position-horizontal-relative:page;mso-position-vertical-relative:page" stroked="f">
            <v:textbox style="mso-next-textbox:#_x0000_s19813" inset="0,0,0,0">
              <w:txbxContent>
                <w:p w:rsidR="0028114F" w:rsidRPr="00E20A5D" w:rsidRDefault="0028114F">
                  <w:pPr>
                    <w:pStyle w:val="OCRStyle1"/>
                    <w:ind w:left="10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(דרכי ענישה) (תיקון מס' 5), תשכ"ג-1963 *</w:t>
                  </w:r>
                </w:p>
              </w:txbxContent>
            </v:textbox>
            <w10:wrap anchorx="page" anchory="page"/>
          </v:shape>
        </w:pict>
      </w:r>
    </w:p>
    <w:p w:rsidR="003D2498" w:rsidRDefault="003D2498">
      <w:pPr>
        <w:rPr>
          <w:rtl/>
        </w:rPr>
      </w:pPr>
      <w:r>
        <w:rPr>
          <w:rtl/>
        </w:rPr>
        <w:br w:type="page"/>
      </w:r>
    </w:p>
    <w:p w:rsidR="003D2498" w:rsidRDefault="00000000">
      <w:pPr>
        <w:rPr>
          <w:rtl/>
        </w:rPr>
      </w:pPr>
      <w:r>
        <w:pict>
          <v:shape id="_x0000_s1981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814" inset="0,0,0,0">
              <w:txbxContent>
                <w:p w:rsidR="0028114F" w:rsidRDefault="0028114F">
                  <w:r>
                    <w:rPr>
                      <w:rtl/>
                    </w:rPr>
                    <w:t>81                                           ספר החוקים 394                 כ"א בסיוון התשכ"ג 13.06.1963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15" o:spid="_x0000_s1030" type="#_x0000_t202" style="position:absolute;left:0;text-align:left;margin-left:323.7pt;margin-top:691.6pt;width:237.6pt;height:63.75pt;z-index:6;mso-position-horizontal-relative:page;mso-position-vertical-relative:page" stroked="f">
            <v:textbox style="mso-next-textbox:#_x0000_s19815" inset="0,0,0,0">
              <w:txbxContent>
                <w:p w:rsidR="0028114F" w:rsidRPr="003D2498" w:rsidRDefault="0028114F">
                  <w:pPr>
                    <w:pStyle w:val="OCRStyle2"/>
                    <w:ind w:left="630"/>
                  </w:pPr>
                  <w:r>
                    <w:rPr>
                      <w:rtl/>
                    </w:rPr>
                    <w:t>2 ע"ר 1936, תוס' 1 מס' 577 ,עמי'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16" o:spid="_x0000_s1031" type="#_x0000_t202" style="position:absolute;left:0;text-align:left;margin-left:92.05pt;margin-top:75.2pt;width:456.4pt;height:616.2pt;z-index:5;mso-position-horizontal-relative:page;mso-position-vertical-relative:page" stroked="f">
            <v:textbox style="mso-next-textbox:#_x0000_s198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5598"/>
                    <w:gridCol w:w="1454"/>
                  </w:tblGrid>
                  <w:tr w:rsidR="0028114F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3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שנידון לשתי תקופות מאסר או יותר שאחת מהן חופפת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בחלקה את האחרת, אין עליו לאחר שנשא תקופת המאסר האחת אלא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שארית תקופת המאסר האחרת שאינה חופפת.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8114F" w:rsidRPr="003D249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3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מי שנידון לתקופות מאסר שונות שעליו לשאת בזה אחר זה, ישא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את התקופה הקצרה יותר, חוץ מן המאסר שכבר התחיל לשאת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בשעה שנידון למאסר נוסף, ובכפוף להוראות סעיף 118."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בנשיאת</w:t>
                        </w:r>
                      </w:p>
                      <w:p w:rsidR="0028114F" w:rsidRPr="003D2498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 מאסר</w:t>
                        </w:r>
                      </w:p>
                    </w:tc>
                  </w:tr>
                  <w:tr w:rsidR="0028114F" w:rsidRPr="003D249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28114F" w:rsidRPr="003D2498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17 לחוק, אחרי סעיף קטן (ד) יבוא: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מי שנידון לתקופות מאסר אחדות שעליו לשאת בזה אחר זה,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שהוטלו עליו לפני שהתחיל בנשיאת ענשו ובין לאחר מכן, רואים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לענין סעיף זה כמי שנידון לתקופת מאסר אחת שהיא סך כל התקו-</w:t>
                        </w:r>
                      </w:p>
                      <w:p w:rsidR="0028114F" w:rsidRPr="003D2498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של אותם ענשי מאסר."</w:t>
                        </w:r>
                      </w:p>
                    </w:tc>
                  </w:tr>
                  <w:tr w:rsidR="0028114F" w:rsidRPr="003D249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28114F" w:rsidRPr="003D2498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28114F" w:rsidRPr="003D2498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.אחרי סעיף 17 לחוק יבוא;</w:t>
                        </w:r>
                      </w:p>
                    </w:tc>
                  </w:tr>
                  <w:tr w:rsidR="0028114F" w:rsidRPr="003D249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3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מי שנידון לעונש מאסר, שלא על תנאי, לתקופה של ששה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יותר, ונוכח בית המשפט, לאחר ששמע חוות דעתו של רופא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למחלות נפש, כי הנאשם סובל מדחף לסמים מסוכנים כמשמעותם בפקודת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הסמים המסוכנים, 1936 2, וכי יש יסוד להניח שעבר את העבירה שעליה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נידון מתוך אותו דחף ושיש באותו דחף כדי להביאו לידי עבירות נוספות,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בגזר דינו, לצוות על החזקתו במוסד סגור לשם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גמילה מן הדחף.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צו לפי סעיף זה אלא אם מוסד שאושר. על ידי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 לענין סעיף זה כמתאים לטיפול בגמילה, הודיע שיש בו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לאשפוזו של הנידון לשם טיפול כזה; רשאי שר הבריאות, בהסכמת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המשטרה, לאשר מחלקה פסיכיאטרית בבית סוהר כמוסד מתאים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זה.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צו לפי סעיף זה לתקופה העולה על שלוש שנים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תקופת המאסר שעל הנידון לשאת, הכל לפי התקופה הארוכה יותר.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החזקתו של החולה תנוכה מתקופת המאסר שעליו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לשאת, זולת אם הורה בית המשפט שהתקופה, כולה או מקצתה, לא תנוכה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הורה בית המשפט כך, יקבע את סדר ההחזקה והמאסר לאחר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ששמע חוות דעתו של רופא למחלות נפש.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ימנה ועדה של שלושה (להלן - הועדה) שאחד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- והוא ישמש יושב ראש הועדה - יהיה שופט של בית משפט מחוזי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ולפחות אחד מהם יהיה רופא למחלות נפש.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נוכחה הועדה כי אדם שניתן עליו צו להחזקה במוסד סגור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(להלן - החולה) אינו זקוק עוד לטיפול במוסד סגור או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ניתן לגמילה, רשאית היא להורות על שחרורו מן המוסד הסגור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לפני תום תקופת הצו; וכן רשאית היא, מכל טעם הנראה לה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מבחינת ריפויו או שיקומו של החולה, להורות על שחרורו לתקופה או</w:t>
                        </w:r>
                      </w:p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כתנאים שתמצא לנכון.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8114F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החזקה</w:t>
                        </w:r>
                      </w:p>
                      <w:p w:rsidR="0028114F" w:rsidRPr="003D2498" w:rsidRDefault="002811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סגור</w:t>
                        </w:r>
                      </w:p>
                    </w:tc>
                  </w:tr>
                </w:tbl>
                <w:p w:rsidR="0028114F" w:rsidRDefault="002811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635A3" w:rsidRDefault="00F635A3">
      <w:pPr>
        <w:rPr>
          <w:rtl/>
        </w:rPr>
      </w:pPr>
      <w:r>
        <w:rPr>
          <w:rtl/>
        </w:rPr>
        <w:br w:type="page"/>
      </w:r>
    </w:p>
    <w:p w:rsidR="00F635A3" w:rsidRDefault="00000000">
      <w:pPr>
        <w:rPr>
          <w:rtl/>
        </w:rPr>
      </w:pPr>
      <w:r>
        <w:pict>
          <v:shape id="_x0000_s19817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9817" inset="0,0,0,0">
              <w:txbxContent>
                <w:p w:rsidR="0028114F" w:rsidRDefault="0028114F">
                  <w:r>
                    <w:rPr>
                      <w:rtl/>
                    </w:rPr>
                    <w:t>82                                           ספר החוקים 394                 כ"א בסיוון התשכ"ג 13.06.1963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18" o:spid="_x0000_s1033" type="#_x0000_t202" style="position:absolute;left:0;text-align:left;margin-left:87.15pt;margin-top:721.75pt;width:185.9pt;height:33.65pt;z-index:10;mso-position-horizontal-relative:page;mso-position-vertical-relative:page" stroked="f">
            <v:textbox style="mso-next-textbox:#_x0000_s19818" inset="0,0,0,0">
              <w:txbxContent>
                <w:p w:rsidR="0028114F" w:rsidRDefault="002811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819" o:spid="_x0000_s1034" type="#_x0000_t202" style="position:absolute;left:0;text-align:left;margin-left:304.95pt;margin-top:698.6pt;width:202.15pt;height:24.95pt;z-index:9;mso-position-horizontal-relative:page;mso-position-vertical-relative:page" stroked="f">
            <v:textbox style="mso-next-textbox:#_x0000_s19819" inset="0,0,0,0">
              <w:txbxContent>
                <w:p w:rsidR="0028114F" w:rsidRPr="00F635A3" w:rsidRDefault="0028114F">
                  <w:pPr>
                    <w:pStyle w:val="OCRStyle3"/>
                    <w:ind w:left="806"/>
                  </w:pPr>
                  <w:r>
                    <w:rPr>
                      <w:rtl/>
                    </w:rPr>
                    <w:t>3 ע"ר 1944, תוס' 1 מס' 1360,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20" o:spid="_x0000_s1035" type="#_x0000_t202" style="position:absolute;left:0;text-align:left;margin-left:86.15pt;margin-top:65.8pt;width:469.25pt;height:630.25pt;z-index:8;mso-position-horizontal-relative:page;mso-position-vertical-relative:page" stroked="f">
            <v:textbox style="mso-next-textbox:#_x0000_s1982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7"/>
                    <w:gridCol w:w="1375"/>
                    <w:gridCol w:w="1379"/>
                  </w:tblGrid>
                  <w:tr w:rsidR="0028114F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הממונה על המוסד הסגור או מי שהוסמך לכך על ידיו רשאי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לחולה/ בתנאים שייראו לו או ללא תנאים, חופשה מיוחדת לתקופה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ארבעה ימים.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בלי לפגוע בהוראות סעיף קטן (ו), יביא היועץ המשפטי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בא כוחו את ענינו של החולה, אחת לששה חדשים, לפני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שנתן את צו ההחזקה' ובית המשפט רשאי לבטל את הצו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נוכח שאין הצדקה להמשך החזקתו של החולה במוסד סגור,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שחרור מן המוסד הסגור לפי הסעיפים הקטנים (ו), (ז) או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(ח), אין בו כדי לשחרר את החולה מעונש מאסר שעליו עוד לשאתו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זמן.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צו החזקה ישמש, בכפוף לתקנות לפי סעיף קטן (יב), הסמכה-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למשטרה - להעביר את החולה למוסד;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לממונה על המוסד הסגור - להחזיק את החולה במוסד;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לרופא הממונה על הטיפול בחולה - לנקוט באמצעי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הדרושים.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חולה היוצא את המוסד הסגור ללא רשות שניתנה לו כדין,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שמסייע לחולה לצאת כאמור, דינו - מאסר שנה.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שר הבריאות רשאי, בהתייעצות עם שר המשטרה, להתקין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תנאי החזקתם של מי שניתנו עליהם צווי החזקה ובדבר דרכי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בהם.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סעיף זה, תחילתו כעבור חדשיים לאחר תחילת התקנות לפי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(יב)."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8114F" w:rsidRPr="00F635A3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במקום סעיף 18 לחוק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8114F" w:rsidRPr="00F635A3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18</w:t>
                        </w:r>
                      </w:p>
                    </w:tc>
                  </w:tr>
                  <w:tr w:rsidR="0028114F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הטיל בית המשפט עונש מאסר, רשאי הוא להורות בגזר הדין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שהעונש, כולו או מקצתו, יהיה על תנאי.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למאסר על תנאי לא ישא את ענשו אלא אט עבר -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שנקבעה בגזר דינו ושלא תפחת משנה ולא תעלה על שלוש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(להלן-תקופת התנאי)-אחת העבירות שנקבעו בגזר הדין והורשע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כזאת (להלן - עבירה נוספת) תוך תקופת התנאי או לאחריה.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התנאי תתחיל מיום מתן גזר הדין, ואם הנידון נושא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זמן עונש מאסר - מיום שחרורו מן המאסר; והכל כשבית המשפט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הורה אחרת.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קביעת העבירות לפי סעיף קטן (ב) יכול שתהיה בציון סוג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עבירות או בפירוט עבירות מסויימות, אם דרך תיאורן ואם דרך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אזכור הוראות חוק; אוזכרה הוראת חוק והיא בוטלה לאחר מכן והוראה</w:t>
                        </w:r>
                      </w:p>
                      <w:p w:rsidR="0028114F" w:rsidRPr="00F635A3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באה במקומה, יראו את גזר הדין כמאזכר את ההוראה האחרת.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8114F" w:rsidRPr="00F635A3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''מאסר על תנאי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8114F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הטיל בית המשפט מאסר על תנאי, רשאי הוא לתת צו מבחן כמש-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כפקודת העמדת עבריינים במבחן, 1944 3,  לתקופת התנאי, כולה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מקצתה, והוראות אותה פקודה יחולו על צו המבחן בכפוף להוראות</w:t>
                        </w:r>
                      </w:p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ובשינויים המחוייבים לפי הענין.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העמדה במבחן</w:t>
                        </w:r>
                      </w:p>
                      <w:p w:rsidR="0028114F" w:rsidRPr="00F635A3" w:rsidRDefault="002811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התנאי</w:t>
                        </w:r>
                      </w:p>
                    </w:tc>
                    <w:tc>
                      <w:tcPr>
                        <w:tcW w:w="808" w:type="pct"/>
                      </w:tcPr>
                      <w:p w:rsidR="0028114F" w:rsidRDefault="002811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8114F" w:rsidRDefault="002811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E10BE" w:rsidRDefault="00FE10BE">
      <w:pPr>
        <w:rPr>
          <w:rtl/>
        </w:rPr>
      </w:pPr>
      <w:r>
        <w:rPr>
          <w:rtl/>
        </w:rPr>
        <w:br w:type="page"/>
      </w:r>
    </w:p>
    <w:p w:rsidR="00FE10BE" w:rsidRDefault="00000000">
      <w:pPr>
        <w:rPr>
          <w:rtl/>
        </w:rPr>
      </w:pPr>
      <w:r>
        <w:pict>
          <v:shape id="_x0000_s19821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9821" inset="0,0,0,0">
              <w:txbxContent>
                <w:p w:rsidR="0028114F" w:rsidRDefault="0028114F">
                  <w:r>
                    <w:rPr>
                      <w:rtl/>
                    </w:rPr>
                    <w:t>83                                           ספר החוקים 394                 כ"א בסיוון התשכ"ג 13.06.1963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22" o:spid="_x0000_s1037" type="#_x0000_t202" style="position:absolute;left:0;text-align:left;margin-left:343.6pt;margin-top:696.1pt;width:190.3pt;height:49.9pt;z-index:13;mso-position-horizontal-relative:page;mso-position-vertical-relative:page" stroked="f">
            <v:textbox style="mso-next-textbox:#_x0000_s19822" inset="0,0,0,0">
              <w:txbxContent>
                <w:p w:rsidR="0028114F" w:rsidRPr="00FE10BE" w:rsidRDefault="0028114F">
                  <w:pPr>
                    <w:pStyle w:val="OCRStyle4"/>
                    <w:ind w:left="299"/>
                  </w:pPr>
                  <w:r>
                    <w:rPr>
                      <w:rtl/>
                    </w:rPr>
                    <w:t>4 ס"ח 189, תשט"ו, עמי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23" o:spid="_x0000_s1038" type="#_x0000_t202" style="position:absolute;left:0;text-align:left;margin-left:89.55pt;margin-top:69.2pt;width:448.65pt;height:625.9pt;z-index:12;mso-position-horizontal-relative:page;mso-position-vertical-relative:page" stroked="f">
            <v:textbox style="mso-next-textbox:#_x0000_s198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5595"/>
                    <w:gridCol w:w="1406"/>
                  </w:tblGrid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18ב. הטיל בית המשפט עונש מאסר בשל עבירה נוספת/ לא יורה שעונש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יהיה כולו על תנאי.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בשל</w:t>
                        </w:r>
                      </w:p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נוספת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18ג. (א) מי שנידון למאסר על תנאי והורשע בשל עבירה נוספת,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בית המשפט על הפעלת המאסר על תנאי.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לפי סעיף קטן (א) רשאי בית המשפט להורות שהפעלת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על תנאי תהיה בכפוף לתוצאות הערעור על ההרשעה בשל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הנוספת.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זה יינתן על ידי בית המשפט שהרשיע את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 בשל העבירה הנוספת, והוא יכול להינתן על ידי כל שופט של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בית משפט.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הפעלתו של</w:t>
                        </w:r>
                      </w:p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תנאי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18ד. (א) בית המשפט שהרשיע נאשם בשל עבירה נוספת ולא הטיל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בשל אותה עבירה עונש מאסר רשאי, על אף האמור בסעיף 18ג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לצוות על הפעלת המאסר על תנאי, לצוות. מטעמים שיירשמו,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הארכת תקופת התנאי לתקופה נוספת שלא תעלה על שנתיים, אם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בית המשפט שבנסיבות הענין לא יהיה זה צודק להפעיל את המאסר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תנאי.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ישתמש בית המשפט בסמכות לפי סעיף זה אלא לגבי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 הראשונה של הנאשם בשל עבירה נוספת.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תקופת</w:t>
                        </w:r>
                      </w:p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18ה. לענין הסעיפים 18ב, 18ג ו-18ד, דינו של עונש מאסר על תנאי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על ידי בית דין צבאי כמשמעותו בחוק שיפוט צבאי, תשט"ו-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4, כדין עונש מאסר על תנאי שהוטל על ידי בית משפט, זולת אם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סבר בית המשפט שהרשיע בשל העבירה הנוספת, שהעבירה שעליה הטיל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את עונש המאסר על תנאי היתה עבירה צבאית כמש-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מעותה באותו חוק.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תנאי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ע"י בית-</w:t>
                        </w:r>
                      </w:p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צגאי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18ו. מי שהוטל עליו עונש מאסר בשל עבירה נוספת והופעל נגדו עונש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על תנאי, ישא, על אף האמור בסעיף 15, את שתי תקופות המאסר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בזו אחר זו, זולת אם בית המשפט שהרשיעו בשל העבירה הנוספת ציווה,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שיירשמו, ששתי התקופות, כולן או מקצתן, יהיו חופפות.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מאסר</w:t>
                        </w:r>
                      </w:p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בזו אחר זו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18ז. מי שהופעל נגדו מאסר על תנאי, יתחיל לשאתו ביום מתן הצו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המפעיל את המאסר זולת אם ציווה בית המשפט שיתחיל ביום אחר.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ריצוי</w:t>
                        </w:r>
                      </w:p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שהופעל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18ח, (א) צו לפי סעיף 18ג, 18ד, 18ה, 18ו, 18ז , ניתן לערעור,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בערעור על ההרשעה בשל העבירה הנוספת מותר לכלול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גם על צו באמור אם לא הוגש עליו ערעור לפי סעיף זה."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22 לחוק, במקום "מאסר עד ששה חדשים" יבוא "מאסר עד שנה".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24 לחוק יימחקו המלים "בשל עבירה אחת".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טעיף 24א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אחרי סעיף 24 לחוק יבוא:</w:t>
                        </w:r>
                      </w:p>
                    </w:tc>
                  </w:tr>
                  <w:tr w:rsidR="0028114F" w:rsidRPr="00FE10BE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9" w:type="pct"/>
                      </w:tcPr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(א) נקבע מועד לביצועו של עונש באחת ההוראות של חוק זה או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המשפט לפי אחת מהן, רשאי בית המשפט לדחות את הביצוע</w:t>
                        </w:r>
                      </w:p>
                      <w:p w:rsidR="0028114F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אחר,</w:t>
                        </w:r>
                      </w:p>
                    </w:tc>
                    <w:tc>
                      <w:tcPr>
                        <w:tcW w:w="862" w:type="pct"/>
                      </w:tcPr>
                      <w:p w:rsidR="0028114F" w:rsidRPr="00FE10BE" w:rsidRDefault="002811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"דחיית מועדים</w:t>
                        </w:r>
                      </w:p>
                    </w:tc>
                  </w:tr>
                </w:tbl>
                <w:p w:rsidR="0028114F" w:rsidRDefault="002811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8114F" w:rsidRDefault="0028114F">
      <w:pPr>
        <w:rPr>
          <w:rtl/>
        </w:rPr>
      </w:pPr>
      <w:r>
        <w:rPr>
          <w:rtl/>
        </w:rPr>
        <w:br w:type="page"/>
      </w:r>
    </w:p>
    <w:p w:rsidR="0028114F" w:rsidRDefault="00000000">
      <w:pPr>
        <w:rPr>
          <w:rtl/>
        </w:rPr>
      </w:pPr>
      <w:r>
        <w:pict>
          <v:shape id="_x0000_s19824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9824" inset="0,0,0,0">
              <w:txbxContent>
                <w:p w:rsidR="0028114F" w:rsidRDefault="0028114F">
                  <w:r>
                    <w:rPr>
                      <w:rtl/>
                    </w:rPr>
                    <w:t>84                                           ספר החוקים 394                 כ"א בסיוון התשכ"ג 13.06.1963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25" o:spid="_x0000_s1040" type="#_x0000_t202" style="position:absolute;left:0;text-align:left;margin-left:97.2pt;margin-top:686.45pt;width:197pt;height:32.85pt;z-index:20;mso-position-horizontal-relative:page;mso-position-vertical-relative:page" stroked="f">
            <v:textbox style="mso-next-textbox:#_x0000_s19825" inset="0,0,0,0">
              <w:txbxContent>
                <w:p w:rsidR="0028114F" w:rsidRDefault="002811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826" o:spid="_x0000_s1041" type="#_x0000_t202" style="position:absolute;left:0;text-align:left;margin-left:313.2pt;margin-top:584.9pt;width:160.2pt;height:37.05pt;z-index:19;mso-position-horizontal-relative:page;mso-position-vertical-relative:page" stroked="f">
            <v:textbox style="mso-next-textbox:#_x0000_s19826" inset="0,0,0,0">
              <w:txbxContent>
                <w:p w:rsidR="0028114F" w:rsidRDefault="0028114F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5 ע"ר 1936' תוס' 1 מס' 652' עמי 263.</w:t>
                  </w:r>
                </w:p>
                <w:p w:rsidR="0028114F" w:rsidRPr="0028114F" w:rsidRDefault="0028114F">
                  <w:pPr>
                    <w:pStyle w:val="OCRStyle5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0 דיני ישראל 1' נוסח חדש, תשי"ד,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27" o:spid="_x0000_s1042" type="#_x0000_t202" style="position:absolute;left:0;text-align:left;margin-left:124.7pt;margin-top:431.65pt;width:77.4pt;height:26.75pt;z-index:18;mso-position-horizontal-relative:page;mso-position-vertical-relative:page" stroked="f">
            <v:textbox style="mso-next-textbox:#_x0000_s19827" inset="0,0,0,0">
              <w:txbxContent>
                <w:p w:rsidR="0028114F" w:rsidRDefault="0028114F">
                  <w:pPr>
                    <w:pStyle w:val="OCRStyle5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28114F" w:rsidRDefault="0028114F">
                  <w:pPr>
                    <w:pStyle w:val="OCRStyle5"/>
                    <w:ind w:left="16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28" o:spid="_x0000_s1043" type="#_x0000_t202" style="position:absolute;left:0;text-align:left;margin-left:228.05pt;margin-top:429.05pt;width:117pt;height:28.5pt;z-index:17;mso-position-horizontal-relative:page;mso-position-vertical-relative:page" stroked="f">
            <v:textbox style="mso-next-textbox:#_x0000_s19828" inset="0,0,0,0">
              <w:txbxContent>
                <w:p w:rsidR="0028114F" w:rsidRDefault="0028114F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8114F" w:rsidRDefault="0028114F">
                  <w:pPr>
                    <w:pStyle w:val="OCRStyle5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29" o:spid="_x0000_s1044" type="#_x0000_t202" style="position:absolute;left:0;text-align:left;margin-left:365.65pt;margin-top:452.45pt;width:123.15pt;height:45.55pt;z-index:16;mso-position-horizontal-relative:page;mso-position-vertical-relative:page" stroked="f">
            <v:textbox style="mso-next-textbox:#_x0000_s19829" inset="0,0,0,0">
              <w:txbxContent>
                <w:p w:rsidR="0028114F" w:rsidRDefault="0028114F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28114F" w:rsidRDefault="0028114F">
                  <w:pPr>
                    <w:pStyle w:val="OCRStyle5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30" o:spid="_x0000_s1045" type="#_x0000_t202" style="position:absolute;left:0;text-align:left;margin-left:91.05pt;margin-top:52.85pt;width:470.05pt;height:354.8pt;z-index:15;mso-position-horizontal-relative:page;mso-position-vertical-relative:page" stroked="f">
            <v:textbox style="mso-next-textbox:#_x0000_s198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393"/>
                  </w:tblGrid>
                  <w:tr w:rsidR="0028114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נדחה ביצועו של עובש לפי סעיף קטן (א), רשאי בית המשפט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לדחותו פעם נוספת מטעמים מיוחדים שיירשמו.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הדוחה ביצועו של עובש לפי סעיף זה רשאי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את הדחיה במתן ערבות ובתנאים אחרים שימצא לנבון; על ערבות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הניתנת לפי הוראה זו יחולו' בשינויים המחוייבים, הוראות הסעיפים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(2) ,(3)' (4) ו-11 (3) לפקודת השחרור בערבות, 1944.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בית המשפט לפי סעיף זה ניתנת לערעור."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8114F" w:rsidRPr="0028114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25 לחוק, המלים "בשל חטא או עוון" יימחקו.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28114F" w:rsidRP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28114F" w:rsidRPr="0028114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31 לחוק' במקום "הורשע אדם בשל עבירה' רשאי בית המשפט לחייבו" יבוא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"הורשע אדם, רשאי בית המשפט לחייבו בשל כל אחת מן העבירות שהורשע בהן"' ובמקום</w:t>
                        </w:r>
                      </w:p>
                      <w:p w:rsidR="0028114F" w:rsidRP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"500 לירות" יבוא "1500 לירות".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28114F" w:rsidRP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31</w:t>
                        </w:r>
                      </w:p>
                    </w:tc>
                  </w:tr>
                  <w:tr w:rsidR="0028114F" w:rsidRPr="0028114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37 לחוק' אחרי המלים "רשאי הוא להטיל על המתלונן" יבוא "לאחר שנתן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סבירה לטעון טענותיו לענין זה" ובסופו יבוא "לענין ערעור על תשלום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הוצאות' דין המתלונן כדין נאשם שהורשע' ולענין גבייתן רואים את החיוב בהן כפסק דין</w:t>
                        </w:r>
                      </w:p>
                      <w:p w:rsidR="0028114F" w:rsidRP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בית משפט שניתן בתביעה אזרחית לטובת הזכאי בגד המתלונן."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28114F" w:rsidRP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28114F" w:rsidRPr="0028114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.בפקודת העמדת עבריינים במבחן, 1944 - בסעיף 6 (1)' במקום "500 לירות" יבוא</w:t>
                        </w:r>
                      </w:p>
                      <w:p w:rsidR="0028114F" w:rsidRP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"1500 לירות".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העמדת עבריינים</w:t>
                        </w:r>
                      </w:p>
                      <w:p w:rsidR="0028114F" w:rsidRP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במבחן</w:t>
                        </w:r>
                      </w:p>
                    </w:tc>
                  </w:tr>
                  <w:tr w:rsidR="0028114F" w:rsidRPr="0028114F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5 לפקודת החוק הפלילי' 1936 5, ובסעיף 1 לפקודת הפרשנות 6, בהגדרת "חטא"'</w:t>
                        </w:r>
                      </w:p>
                      <w:p w:rsidR="0028114F" w:rsidRPr="0028114F" w:rsidRDefault="002811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"חמש לירות" יבוא "שבעים וחמש לירות".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מקורת</w:t>
                        </w:r>
                      </w:p>
                      <w:p w:rsid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הפלילי</w:t>
                        </w:r>
                      </w:p>
                      <w:p w:rsidR="0028114F" w:rsidRPr="0028114F" w:rsidRDefault="002811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ופקודת הפרשנות</w:t>
                        </w:r>
                      </w:p>
                    </w:tc>
                  </w:tr>
                </w:tbl>
                <w:p w:rsidR="0028114F" w:rsidRDefault="002811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E20A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C510E7-0E5E-430D-AFED-F08C0BAAF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0A5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D249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635A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E10B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8114F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6</cp:revision>
  <dcterms:created xsi:type="dcterms:W3CDTF">2008-04-07T10:59:00Z</dcterms:created>
  <dcterms:modified xsi:type="dcterms:W3CDTF">2008-04-07T11:00:00Z</dcterms:modified>
</cp:coreProperties>
</file>