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1CF6" w:rsidRDefault="00731CF6">
      <w:pPr>
        <w:rPr>
          <w:rtl/>
        </w:rPr>
      </w:pPr>
    </w:p>
    <w:p w:rsidR="00731C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5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558" inset="0,0,0,0">
              <w:txbxContent>
                <w:p w:rsidR="00731CF6" w:rsidRDefault="00731CF6">
                  <w:r>
                    <w:rPr>
                      <w:rtl/>
                    </w:rPr>
                    <w:t>222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59" o:spid="_x0000_s1026" type="#_x0000_t202" style="position:absolute;left:0;text-align:left;margin-left:86pt;margin-top:693.15pt;width:176.4pt;height:42.95pt;z-index:7;mso-position-horizontal-relative:page;mso-position-vertical-relative:page" stroked="f">
            <v:textbox style="mso-next-textbox:#_x0000_s20559" inset="0,0,0,0">
              <w:txbxContent>
                <w:p w:rsidR="00731CF6" w:rsidRDefault="00731C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60" o:spid="_x0000_s1027" type="#_x0000_t202" style="position:absolute;left:0;text-align:left;margin-left:91.15pt;margin-top:611.35pt;width:382.95pt;height:47.3pt;z-index:6;mso-position-horizontal-relative:page;mso-position-vertical-relative:page" stroked="f">
            <v:textbox style="mso-next-textbox:#_x0000_s20560" inset="0,0,0,0">
              <w:txbxContent>
                <w:p w:rsidR="00731CF6" w:rsidRDefault="00731CF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תשל"ג (17 ביולי 1973); הצעת החוק ודברי הסבר פורסמו בח"ח 1043, תשל"ג</w:t>
                  </w:r>
                </w:p>
                <w:p w:rsidR="00731CF6" w:rsidRDefault="00731CF6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165.</w:t>
                  </w:r>
                </w:p>
                <w:p w:rsidR="00731CF6" w:rsidRPr="00731CF6" w:rsidRDefault="00731CF6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עמ' 136; תשכ"ד, עמ' 167; תשכ"ה, עמ' 215.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61" o:spid="_x0000_s1028" type="#_x0000_t202" style="position:absolute;left:0;text-align:left;margin-left:116.1pt;margin-top:433.15pt;width:84.35pt;height:31.7pt;z-index:5;mso-position-horizontal-relative:page;mso-position-vertical-relative:page" stroked="f">
            <v:textbox style="mso-next-textbox:#_x0000_s20561" inset="0,0,0,0">
              <w:txbxContent>
                <w:p w:rsidR="00731CF6" w:rsidRDefault="00731CF6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731CF6" w:rsidRDefault="00731CF6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62" o:spid="_x0000_s1029" type="#_x0000_t202" style="position:absolute;left:0;text-align:left;margin-left:240.05pt;margin-top:435.75pt;width:84.35pt;height:34.45pt;z-index:4;mso-position-horizontal-relative:page;mso-position-vertical-relative:page" stroked="f">
            <v:textbox style="mso-next-textbox:#_x0000_s20562" inset="0,0,0,0">
              <w:txbxContent>
                <w:p w:rsidR="00731CF6" w:rsidRDefault="00731CF6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31CF6" w:rsidRDefault="00731CF6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63" o:spid="_x0000_s1030" type="#_x0000_t202" style="position:absolute;left:0;text-align:left;margin-left:392.35pt;margin-top:458.1pt;width:81.75pt;height:41.2pt;z-index:3;mso-position-horizontal-relative:page;mso-position-vertical-relative:page" stroked="f">
            <v:textbox style="mso-next-textbox:#_x0000_s20563" inset="0,0,0,0">
              <w:txbxContent>
                <w:p w:rsidR="00731CF6" w:rsidRDefault="00731CF6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אפר'- קציר</w:t>
                  </w:r>
                </w:p>
                <w:p w:rsidR="00731CF6" w:rsidRDefault="00731CF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64" o:spid="_x0000_s1031" type="#_x0000_t202" style="position:absolute;left:0;text-align:left;margin-left:81.65pt;margin-top:101.7pt;width:470.85pt;height:323.55pt;z-index:2;mso-position-horizontal-relative:page;mso-position-vertical-relative:page" stroked="f">
            <v:textbox style="mso-next-textbox:#_x0000_s2056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79"/>
                    <w:gridCol w:w="945"/>
                    <w:gridCol w:w="1238"/>
                  </w:tblGrid>
                  <w:tr w:rsidR="00731CF6" w:rsidRPr="00731CF6">
                    <w:trPr>
                      <w:jc w:val="right"/>
                    </w:trPr>
                    <w:tc>
                      <w:tcPr>
                        <w:tcW w:w="4277" w:type="pct"/>
                        <w:gridSpan w:val="2"/>
                      </w:tcPr>
                      <w:p w:rsidR="00731CF6" w:rsidRDefault="00731CF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26 לחוק פיצויי פיטורים, תשכ"ג-1963 1 (להלן - החוק העיקרי).</w:t>
                        </w:r>
                      </w:p>
                      <w:p w:rsidR="00731CF6" w:rsidRP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23" w:type="pct"/>
                      </w:tcPr>
                      <w:p w:rsidR="00731CF6" w:rsidRPr="00731CF6" w:rsidRDefault="00731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26</w:t>
                        </w:r>
                      </w:p>
                    </w:tc>
                  </w:tr>
                  <w:tr w:rsidR="00731CF6">
                    <w:trPr>
                      <w:jc w:val="right"/>
                    </w:trPr>
                    <w:tc>
                      <w:tcPr>
                        <w:tcW w:w="3725" w:type="pct"/>
                      </w:tcPr>
                      <w:p w:rsidR="00731CF6" w:rsidRDefault="00731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סכומים ששולמו במקום פיצויי פיטורים לסי סעיף 14, או שהופ-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קדו לפי סעיף 20 או לפי סעיף 21, או ששולמו לקופת גמל לתשלום פיצויי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-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אינם ניתנים להחזרה, להעברה לשעבוד או לעיקול;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על סכום ששולם או הופקד כאמור כעד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שבינתיים חדל לעבוד בנסיבות שאינן מזכות אותו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בפיצויי פיטורים, אלא אם הסכום מיועד גם לביטוח קצבה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נקבע בהסכם קיבוצי או בהסכם אחר שהוא ניתן להחזרה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להעברה;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אינם חלק מנכסי המעביד במקרה של פטירה, פשיטת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רגל או פירוק, כמידה שתביעות העובדים לפי חוק זה לא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סולקו.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יחולו גם לגבי ריבית והפרשי הצמדה שגוספו על</w:t>
                        </w:r>
                      </w:p>
                      <w:p w:rsidR="00731CF6" w:rsidRP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כאמור.'"</w:t>
                        </w:r>
                      </w:p>
                    </w:tc>
                    <w:tc>
                      <w:tcPr>
                        <w:tcW w:w="552" w:type="pct"/>
                      </w:tcPr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:סכומים</w:t>
                        </w:r>
                      </w:p>
                      <w:p w:rsidR="00731CF6" w:rsidRPr="00731CF6" w:rsidRDefault="00731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משוריינים</w:t>
                        </w:r>
                      </w:p>
                    </w:tc>
                    <w:tc>
                      <w:tcPr>
                        <w:tcW w:w="723" w:type="pct"/>
                      </w:tcPr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31CF6" w:rsidRPr="00731CF6">
                    <w:trPr>
                      <w:jc w:val="right"/>
                    </w:trPr>
                    <w:tc>
                      <w:tcPr>
                        <w:tcW w:w="4277" w:type="pct"/>
                        <w:gridSpan w:val="2"/>
                      </w:tcPr>
                      <w:p w:rsidR="00731CF6" w:rsidRDefault="00731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הוראות סעיף 26(א)(2) לחוק העיקרי יחולו גם על סכומים שהופקדו או שולמו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זה.</w:t>
                        </w:r>
                      </w:p>
                      <w:p w:rsid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לא יגרע מזכויות שרכש עובד לפי סעיף 26 לחוק העיקר; לפני תחילתו</w:t>
                        </w:r>
                      </w:p>
                      <w:p w:rsidR="00731CF6" w:rsidRPr="00731CF6" w:rsidRDefault="00731C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731CF6" w:rsidRPr="00731CF6" w:rsidRDefault="00731C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731CF6" w:rsidRDefault="00731C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65" o:spid="_x0000_s1032" type="#_x0000_t202" style="position:absolute;left:0;text-align:left;margin-left:151.35pt;margin-top:71.4pt;width:272.85pt;height:21.6pt;z-index:1;mso-position-horizontal-relative:page;mso-position-vertical-relative:page" stroked="f">
            <v:textbox style="mso-next-textbox:#_x0000_s20565" inset="0,0,0,0">
              <w:txbxContent>
                <w:p w:rsidR="00731CF6" w:rsidRPr="00731CF6" w:rsidRDefault="00731CF6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פיצויי פיטורים (תיקון מס' 3),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1C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F963DD-988E-4150-B2AD-B673FB24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1CF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2008-04-07T11:52:00Z</dcterms:created>
  <dcterms:modified xsi:type="dcterms:W3CDTF">2008-04-07T11:52:00Z</dcterms:modified>
</cp:coreProperties>
</file>