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A292B" w:rsidRDefault="00FA292B">
      <w:pPr>
        <w:rPr>
          <w:rtl/>
        </w:rPr>
      </w:pPr>
    </w:p>
    <w:p w:rsidR="00FA292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630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0630" inset="0,0,0,0">
              <w:txbxContent>
                <w:p w:rsidR="00CE4D4D" w:rsidRDefault="00CE4D4D">
                  <w:r>
                    <w:rPr>
                      <w:rtl/>
                    </w:rPr>
                    <w:t>4                                            ספר החוקים 209                  ה' בכסליו התשי"ז 09.11.1956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31" o:spid="_x0000_s1026" type="#_x0000_t202" style="position:absolute;left:0;text-align:left;margin-left:78.9pt;margin-top:772.15pt;width:183.55pt;height:24.75pt;z-index:4;mso-position-horizontal-relative:page;mso-position-vertical-relative:page" stroked="f">
            <v:textbox style="mso-next-textbox:#_x0000_s20631" inset="0,0,0,0">
              <w:txbxContent>
                <w:p w:rsidR="00CE4D4D" w:rsidRDefault="00CE4D4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632" o:spid="_x0000_s1027" type="#_x0000_t202" style="position:absolute;left:0;text-align:left;margin-left:75.35pt;margin-top:721.05pt;width:388.65pt;height:42.95pt;z-index:3;mso-position-horizontal-relative:page;mso-position-vertical-relative:page" stroked="f">
            <v:textbox style="mso-next-textbox:#_x0000_s20632" inset="0,0,0,0">
              <w:txbxContent>
                <w:p w:rsidR="00CE4D4D" w:rsidRDefault="00CE4D4D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בחשון תשי"ז (30 באוקטובר 1900) ; הצעת החוק ירברי הסבר</w:t>
                  </w:r>
                </w:p>
                <w:p w:rsidR="00CE4D4D" w:rsidRDefault="00CE4D4D">
                  <w:pPr>
                    <w:pStyle w:val="OCRStyle1"/>
                    <w:ind w:left="30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נתפרסמו בה"ח 275, תשי"ז, עמ' 26.</w:t>
                  </w:r>
                </w:p>
                <w:p w:rsidR="00CE4D4D" w:rsidRPr="00FA292B" w:rsidRDefault="00CE4D4D">
                  <w:pPr>
                    <w:pStyle w:val="OCRStyle1"/>
                    <w:ind w:left="13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186, תשט"ו, עמ' 114.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33" o:spid="_x0000_s1028" type="#_x0000_t202" style="position:absolute;left:0;text-align:left;margin-left:71.6pt;margin-top:116.95pt;width:494.6pt;height:602.3pt;z-index:2;mso-position-horizontal-relative:page;mso-position-vertical-relative:page" stroked="f">
            <v:textbox style="mso-next-textbox:#_x0000_s20633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60"/>
                    <w:gridCol w:w="1482"/>
                    <w:gridCol w:w="1351"/>
                  </w:tblGrid>
                  <w:tr w:rsidR="00CE4D4D" w:rsidRPr="00FA292B">
                    <w:trPr>
                      <w:jc w:val="right"/>
                    </w:trPr>
                    <w:tc>
                      <w:tcPr>
                        <w:tcW w:w="4249" w:type="pct"/>
                        <w:gridSpan w:val="2"/>
                      </w:tcPr>
                      <w:p w:rsidR="00CE4D4D" w:rsidRDefault="00CE4D4D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במקום סעיף 1 לחוק תשלום פיצויים מאיטליה, תשט"ו-11955 (להלן-החוק העיקרי).</w:t>
                        </w:r>
                      </w:p>
                      <w:p w:rsidR="00CE4D4D" w:rsidRPr="00FA292B" w:rsidRDefault="00CE4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סעיף זה:</w:t>
                        </w:r>
                      </w:p>
                    </w:tc>
                    <w:tc>
                      <w:tcPr>
                        <w:tcW w:w="751" w:type="pct"/>
                      </w:tcPr>
                      <w:p w:rsidR="00CE4D4D" w:rsidRPr="00FA292B" w:rsidRDefault="00CE4D4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</w:t>
                        </w:r>
                      </w:p>
                    </w:tc>
                  </w:tr>
                  <w:tr w:rsidR="00CE4D4D">
                    <w:trPr>
                      <w:jc w:val="right"/>
                    </w:trPr>
                    <w:tc>
                      <w:tcPr>
                        <w:tcW w:w="3425" w:type="pct"/>
                      </w:tcPr>
                      <w:p w:rsidR="00CE4D4D" w:rsidRPr="00FA292B" w:rsidRDefault="00CE4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בחוק זה -</w:t>
                        </w:r>
                      </w:p>
                    </w:tc>
                    <w:tc>
                      <w:tcPr>
                        <w:tcW w:w="824" w:type="pct"/>
                      </w:tcPr>
                      <w:p w:rsidR="00CE4D4D" w:rsidRPr="00FA292B" w:rsidRDefault="00CE4D4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"הגדרות</w:t>
                        </w:r>
                      </w:p>
                    </w:tc>
                    <w:tc>
                      <w:tcPr>
                        <w:tcW w:w="751" w:type="pct"/>
                      </w:tcPr>
                      <w:p w:rsidR="00CE4D4D" w:rsidRDefault="00CE4D4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CE4D4D" w:rsidRPr="00FA292B">
                    <w:trPr>
                      <w:jc w:val="right"/>
                    </w:trPr>
                    <w:tc>
                      <w:tcPr>
                        <w:tcW w:w="4249" w:type="pct"/>
                        <w:gridSpan w:val="2"/>
                      </w:tcPr>
                      <w:p w:rsidR="00CE4D4D" w:rsidRDefault="00CE4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"מטלטלין תפוסים" - מטלטלין שהיו במלחמת העולם השניה נתונים</w:t>
                        </w:r>
                      </w:p>
                      <w:p w:rsidR="00CE4D4D" w:rsidRDefault="00CE4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לאמצעים כגון תפיסה, עיקול או פיקוח, כשהיו במעבר בשטח איטליה</w:t>
                        </w:r>
                      </w:p>
                      <w:p w:rsidR="00CE4D4D" w:rsidRDefault="00CE4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במקום אחר שהיה כפוף אותה שעה לריבונות איטלקית ונאבדו או</w:t>
                        </w:r>
                      </w:p>
                      <w:p w:rsidR="00CE4D4D" w:rsidRDefault="00CE4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ניזוקו בימי מלחמת העולם השניה כתוצאה מאמצעים אלה, הן</w:t>
                        </w:r>
                      </w:p>
                      <w:p w:rsidR="00CE4D4D" w:rsidRDefault="00CE4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במישרין והן בעקיפין;</w:t>
                        </w:r>
                      </w:p>
                      <w:p w:rsidR="00CE4D4D" w:rsidRDefault="00CE4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"תובע" -</w:t>
                        </w:r>
                      </w:p>
                      <w:p w:rsidR="00CE4D4D" w:rsidRDefault="00CE4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תושב ישראל שהיה בעל מטלטלין תפוסים, שעה שנאבדו או ניזוקו;</w:t>
                        </w:r>
                      </w:p>
                      <w:p w:rsidR="00CE4D4D" w:rsidRDefault="00CE4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יורשיו של אדם כאמור בפסקה (1), שנפטר לאחר תחילתו של חוק</w:t>
                        </w:r>
                      </w:p>
                      <w:p w:rsidR="00CE4D4D" w:rsidRDefault="00CE4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כל יורש לפי חלקו בעזבון;</w:t>
                        </w:r>
                      </w:p>
                      <w:p w:rsidR="00CE4D4D" w:rsidRDefault="00CE4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הועדה המוקמת לפי חוק זה רשאית, אם ראתה שבנסיבות הענין</w:t>
                        </w:r>
                      </w:p>
                      <w:p w:rsidR="00CE4D4D" w:rsidRDefault="00CE4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הצדק לעשות כן, לראות כתובע -</w:t>
                        </w:r>
                      </w:p>
                      <w:p w:rsidR="00CE4D4D" w:rsidRDefault="00CE4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יורשיו של אדם כאמור בפסקה (1) שנפטר בין יום כ"ז בסיון</w:t>
                        </w:r>
                      </w:p>
                      <w:p w:rsidR="00CE4D4D" w:rsidRDefault="00CE4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תשי"ד (28 ביוני 1954) לבין יום תחילת חוק זה:</w:t>
                        </w:r>
                      </w:p>
                      <w:p w:rsidR="00CE4D4D" w:rsidRDefault="00CE4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תושב ישראל שהוא יורשו או יורש יורשו של מי שהיה בעל</w:t>
                        </w:r>
                      </w:p>
                      <w:p w:rsidR="00CE4D4D" w:rsidRDefault="00CE4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מטלטלין תפוסים שעה שנאבדו או ניזוקו, אם לגבי התביעה</w:t>
                        </w:r>
                      </w:p>
                      <w:p w:rsidR="00CE4D4D" w:rsidRDefault="00CE4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כולה ואם למקצתה, הכל כפי שייראה בעיני הועדה;</w:t>
                        </w:r>
                      </w:p>
                      <w:p w:rsidR="00CE4D4D" w:rsidRDefault="00CE4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"תביעה" - תתפרש בהתאם למונח "תובע"."</w:t>
                        </w:r>
                      </w:p>
                      <w:p w:rsidR="00CE4D4D" w:rsidRDefault="00CE4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אחרי סעיף 4 לחוק העיקרי יבואו סעיפים אלה.-</w:t>
                        </w:r>
                      </w:p>
                    </w:tc>
                    <w:tc>
                      <w:tcPr>
                        <w:tcW w:w="751" w:type="pct"/>
                      </w:tcPr>
                      <w:p w:rsidR="00CE4D4D" w:rsidRDefault="00CE4D4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תוספת סעיפים</w:t>
                        </w:r>
                      </w:p>
                      <w:p w:rsidR="00CE4D4D" w:rsidRPr="00FA292B" w:rsidRDefault="00CE4D4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4א ו-4ב</w:t>
                        </w:r>
                      </w:p>
                    </w:tc>
                  </w:tr>
                  <w:tr w:rsidR="00CE4D4D">
                    <w:trPr>
                      <w:jc w:val="right"/>
                    </w:trPr>
                    <w:tc>
                      <w:tcPr>
                        <w:tcW w:w="3425" w:type="pct"/>
                      </w:tcPr>
                      <w:p w:rsidR="00CE4D4D" w:rsidRDefault="00CE4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4א. הועדה תאשר את התביעות על יסוד משקל המטלטלין התפוסים</w:t>
                        </w:r>
                      </w:p>
                      <w:p w:rsidR="00CE4D4D" w:rsidRDefault="00CE4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לסוגיהם.</w:t>
                        </w:r>
                      </w:p>
                    </w:tc>
                    <w:tc>
                      <w:tcPr>
                        <w:tcW w:w="824" w:type="pct"/>
                      </w:tcPr>
                      <w:p w:rsidR="00CE4D4D" w:rsidRDefault="00CE4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 מרד לשם</w:t>
                        </w:r>
                      </w:p>
                      <w:p w:rsidR="00CE4D4D" w:rsidRPr="00FA292B" w:rsidRDefault="00CE4D4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פיצויים</w:t>
                        </w:r>
                      </w:p>
                    </w:tc>
                    <w:tc>
                      <w:tcPr>
                        <w:tcW w:w="751" w:type="pct"/>
                      </w:tcPr>
                      <w:p w:rsidR="00CE4D4D" w:rsidRDefault="00CE4D4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CE4D4D">
                    <w:trPr>
                      <w:jc w:val="right"/>
                    </w:trPr>
                    <w:tc>
                      <w:tcPr>
                        <w:tcW w:w="3425" w:type="pct"/>
                      </w:tcPr>
                      <w:p w:rsidR="00CE4D4D" w:rsidRDefault="00CE4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4ב. הועדה רשאית, בשעת ההכרעה בתביעה, להתחשב בכל פיצוי על</w:t>
                        </w:r>
                      </w:p>
                      <w:p w:rsidR="00CE4D4D" w:rsidRDefault="00CE4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הנזק או האבדן של המטלטלין התפוסים שניתן לתובע או שצפוי לו מכל</w:t>
                        </w:r>
                      </w:p>
                      <w:p w:rsidR="00CE4D4D" w:rsidRDefault="00CE4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מקור אחר, וכן רשאית היא להתנות את התשלום לתובע בתנאים הנראים</w:t>
                        </w:r>
                      </w:p>
                      <w:p w:rsidR="00CE4D4D" w:rsidRDefault="00CE4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לשם עשיית צדק לכלל התובעים, לרבות מתן תשלום בתורת הלוואה."</w:t>
                        </w:r>
                      </w:p>
                    </w:tc>
                    <w:tc>
                      <w:tcPr>
                        <w:tcW w:w="824" w:type="pct"/>
                      </w:tcPr>
                      <w:p w:rsidR="00CE4D4D" w:rsidRDefault="00CE4D4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תביעות ממקור</w:t>
                        </w:r>
                      </w:p>
                      <w:p w:rsidR="00CE4D4D" w:rsidRDefault="00CE4D4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 ותנאים</w:t>
                        </w:r>
                      </w:p>
                      <w:p w:rsidR="00CE4D4D" w:rsidRPr="00FA292B" w:rsidRDefault="00CE4D4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לתשלום</w:t>
                        </w:r>
                      </w:p>
                    </w:tc>
                    <w:tc>
                      <w:tcPr>
                        <w:tcW w:w="751" w:type="pct"/>
                      </w:tcPr>
                      <w:p w:rsidR="00CE4D4D" w:rsidRDefault="00CE4D4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CE4D4D" w:rsidRPr="00FA292B">
                    <w:trPr>
                      <w:jc w:val="right"/>
                    </w:trPr>
                    <w:tc>
                      <w:tcPr>
                        <w:tcW w:w="4249" w:type="pct"/>
                        <w:gridSpan w:val="2"/>
                      </w:tcPr>
                      <w:p w:rsidR="00CE4D4D" w:rsidRDefault="00CE4D4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.האמור בסעיף 8 לחוק העיקרי יסומן כסעיף קטן (א) ואחריו יבוא סעיף קטן זה:</w:t>
                        </w:r>
                      </w:p>
                      <w:p w:rsidR="00CE4D4D" w:rsidRDefault="00CE4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'-(ב) מי שקיבל לפני תחילתו של חוק זה כספים מאוצר המדינה על חשבון הסכומים</w:t>
                        </w:r>
                      </w:p>
                      <w:p w:rsidR="00CE4D4D" w:rsidRDefault="00CE4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המשתלמים לפי חוק זה, רשאית הועדה לחייבו בהחזרת כספים אלה במידה שאותו</w:t>
                        </w:r>
                      </w:p>
                      <w:p w:rsidR="00CE4D4D" w:rsidRPr="00FA292B" w:rsidRDefault="00CE4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אינו זכאי להם לפי חוק זה,"</w:t>
                        </w:r>
                      </w:p>
                    </w:tc>
                    <w:tc>
                      <w:tcPr>
                        <w:tcW w:w="751" w:type="pct"/>
                      </w:tcPr>
                      <w:p w:rsidR="00CE4D4D" w:rsidRPr="00FA292B" w:rsidRDefault="00CE4D4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</w:tr>
                </w:tbl>
                <w:p w:rsidR="00CE4D4D" w:rsidRDefault="00CE4D4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634" o:spid="_x0000_s1029" type="#_x0000_t202" style="position:absolute;left:0;text-align:left;margin-left:128.2pt;margin-top:85.05pt;width:316.6pt;height:30.1pt;z-index:1;mso-position-horizontal-relative:page;mso-position-vertical-relative:page" stroked="f">
            <v:textbox style="mso-next-textbox:#_x0000_s20634" inset="0,0,0,0">
              <w:txbxContent>
                <w:p w:rsidR="00CE4D4D" w:rsidRPr="00FA292B" w:rsidRDefault="00CE4D4D">
                  <w:pPr>
                    <w:pStyle w:val="OCRStyle1"/>
                    <w:ind w:left="10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תשלום פיצויים מאיטליה (תיקון), תשי"ז-1956*</w:t>
                  </w:r>
                </w:p>
              </w:txbxContent>
            </v:textbox>
            <w10:wrap anchorx="page" anchory="page"/>
          </v:shape>
        </w:pict>
      </w:r>
    </w:p>
    <w:p w:rsidR="00E6777A" w:rsidRDefault="00E6777A">
      <w:pPr>
        <w:rPr>
          <w:rtl/>
        </w:rPr>
      </w:pPr>
      <w:r>
        <w:rPr>
          <w:rtl/>
        </w:rPr>
        <w:br w:type="page"/>
      </w:r>
    </w:p>
    <w:p w:rsidR="00E6777A" w:rsidRDefault="00000000">
      <w:pPr>
        <w:rPr>
          <w:rtl/>
        </w:rPr>
      </w:pPr>
      <w:r>
        <w:pict>
          <v:shape id="_x0000_s20635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0635" inset="0,0,0,0">
              <w:txbxContent>
                <w:p w:rsidR="00CE4D4D" w:rsidRDefault="00CE4D4D">
                  <w:r>
                    <w:rPr>
                      <w:rtl/>
                    </w:rPr>
                    <w:t>5                                            ספר החוקים 209                  ה' בכסליו התשי"ז 09.11.1956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36" o:spid="_x0000_s1031" type="#_x0000_t202" style="position:absolute;left:0;text-align:left;margin-left:388.2pt;margin-top:769.25pt;width:185.15pt;height:27.5pt;z-index:10;mso-position-horizontal-relative:page;mso-position-vertical-relative:page" stroked="f">
            <v:textbox style="mso-next-textbox:#_x0000_s20636" inset="0,0,0,0">
              <w:txbxContent>
                <w:p w:rsidR="00CE4D4D" w:rsidRDefault="00CE4D4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0637" o:spid="_x0000_s1032" type="#_x0000_t202" style="position:absolute;left:0;text-align:left;margin-left:181.9pt;margin-top:224.55pt;width:96.8pt;height:38.4pt;z-index:9;mso-position-horizontal-relative:page;mso-position-vertical-relative:page" stroked="f">
            <v:textbox style="mso-next-textbox:#_x0000_s20637" inset="0,0,0,0">
              <w:txbxContent>
                <w:p w:rsidR="00CE4D4D" w:rsidRDefault="00CE4D4D">
                  <w:pPr>
                    <w:pStyle w:val="OCRStyle2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CE4D4D" w:rsidRDefault="00CE4D4D">
                  <w:pPr>
                    <w:pStyle w:val="OCRStyle2"/>
                    <w:ind w:left="331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38" o:spid="_x0000_s1033" type="#_x0000_t202" style="position:absolute;left:0;text-align:left;margin-left:444.85pt;margin-top:260.2pt;width:101.2pt;height:29.1pt;z-index:8;mso-position-horizontal-relative:page;mso-position-vertical-relative:page" stroked="f">
            <v:textbox style="mso-next-textbox:#_x0000_s20638" inset="0,0,0,0">
              <w:txbxContent>
                <w:p w:rsidR="00CE4D4D" w:rsidRDefault="00CE4D4D">
                  <w:pPr>
                    <w:pStyle w:val="OCRStyle2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CE4D4D" w:rsidRDefault="00CE4D4D">
                  <w:pPr>
                    <w:pStyle w:val="OCRStyle2"/>
                    <w:ind w:left="436"/>
                  </w:pPr>
                  <w:r>
                    <w:rPr>
                      <w:rtl/>
                    </w:rPr>
                    <w:t>נשיא המדינה.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39" o:spid="_x0000_s1034" type="#_x0000_t202" style="position:absolute;left:0;text-align:left;margin-left:307.05pt;margin-top:225.55pt;width:115.85pt;height:34.65pt;z-index:7;mso-position-horizontal-relative:page;mso-position-vertical-relative:page" stroked="f">
            <v:textbox style="mso-next-textbox:#_x0000_s20639" inset="0,0,0,0">
              <w:txbxContent>
                <w:p w:rsidR="00CE4D4D" w:rsidRDefault="00CE4D4D">
                  <w:pPr>
                    <w:pStyle w:val="OCRStyle2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CE4D4D" w:rsidRDefault="00CE4D4D">
                  <w:pPr>
                    <w:pStyle w:val="OCRStyle2"/>
                    <w:ind w:left="5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40" o:spid="_x0000_s1035" type="#_x0000_t202" style="position:absolute;left:0;text-align:left;margin-left:94.4pt;margin-top:63.2pt;width:478.15pt;height:151.25pt;z-index:6;mso-position-horizontal-relative:page;mso-position-vertical-relative:page" stroked="f">
            <v:textbox style="mso-next-textbox:#_x0000_s20640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0"/>
                    <w:gridCol w:w="6177"/>
                    <w:gridCol w:w="1356"/>
                  </w:tblGrid>
                  <w:tr w:rsidR="00CE4D4D" w:rsidRPr="00E6777A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CE4D4D" w:rsidRDefault="00CE4D4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CE4D4D" w:rsidRPr="00E6777A" w:rsidRDefault="00CE4D4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 11א</w:t>
                        </w:r>
                      </w:p>
                    </w:tc>
                    <w:tc>
                      <w:tcPr>
                        <w:tcW w:w="4333" w:type="pct"/>
                        <w:gridSpan w:val="2"/>
                      </w:tcPr>
                      <w:p w:rsidR="00CE4D4D" w:rsidRPr="00E6777A" w:rsidRDefault="00CE4D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 אחרי סעיף 11 לחוק העיקרי יבוא סעיף זה:</w:t>
                        </w:r>
                      </w:p>
                    </w:tc>
                  </w:tr>
                  <w:tr w:rsidR="00CE4D4D" w:rsidRPr="00E6777A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CE4D4D" w:rsidRDefault="00CE4D4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53" w:type="pct"/>
                      </w:tcPr>
                      <w:p w:rsidR="00CE4D4D" w:rsidRDefault="00CE4D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11א. מסמכים שהגיש תובע לועדה לפי דרישתה' למעט מסמכים לאימי'ת</w:t>
                        </w:r>
                      </w:p>
                      <w:p w:rsidR="00CE4D4D" w:rsidRDefault="00CE4D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תביעתו' יהיו פטורים ממס בולים,"</w:t>
                        </w:r>
                      </w:p>
                    </w:tc>
                    <w:tc>
                      <w:tcPr>
                        <w:tcW w:w="780" w:type="pct"/>
                      </w:tcPr>
                      <w:p w:rsidR="00CE4D4D" w:rsidRDefault="00CE4D4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ממס</w:t>
                        </w:r>
                      </w:p>
                      <w:p w:rsidR="00CE4D4D" w:rsidRPr="00E6777A" w:rsidRDefault="00CE4D4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בולים</w:t>
                        </w:r>
                      </w:p>
                    </w:tc>
                  </w:tr>
                  <w:tr w:rsidR="00CE4D4D" w:rsidRPr="00E6777A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CE4D4D" w:rsidRPr="00E6777A" w:rsidRDefault="00CE4D4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333" w:type="pct"/>
                        <w:gridSpan w:val="2"/>
                      </w:tcPr>
                      <w:p w:rsidR="00CE4D4D" w:rsidRDefault="00CE4D4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         הועדה רשאית לבטל או לשנות החלטה שניתנה לפני פרסום חוק זה ברשומות במידה</w:t>
                        </w:r>
                      </w:p>
                      <w:p w:rsidR="00CE4D4D" w:rsidRPr="00E6777A" w:rsidRDefault="00CE4D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שהדבר דרוש כדי להתאים את ההחלטה להוראות חוק זה,</w:t>
                        </w:r>
                      </w:p>
                    </w:tc>
                  </w:tr>
                  <w:tr w:rsidR="00CE4D4D" w:rsidRPr="00E6777A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CE4D4D" w:rsidRPr="00E6777A" w:rsidRDefault="00CE4D4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33" w:type="pct"/>
                        <w:gridSpan w:val="2"/>
                      </w:tcPr>
                      <w:p w:rsidR="00CE4D4D" w:rsidRPr="00E6777A" w:rsidRDefault="00CE4D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תחילתו של חוק זה היא ביום תחילתו של החוק העיקרי.</w:t>
                        </w:r>
                      </w:p>
                    </w:tc>
                  </w:tr>
                </w:tbl>
                <w:p w:rsidR="00CE4D4D" w:rsidRDefault="00CE4D4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E4D4D" w:rsidRDefault="00CE4D4D">
      <w:pPr>
        <w:rPr>
          <w:rtl/>
        </w:rPr>
      </w:pPr>
      <w:r>
        <w:rPr>
          <w:rtl/>
        </w:rPr>
        <w:br w:type="page"/>
      </w:r>
    </w:p>
    <w:p w:rsidR="00CE4D4D" w:rsidRDefault="00000000">
      <w:pPr>
        <w:rPr>
          <w:rtl/>
        </w:rPr>
      </w:pPr>
      <w:r>
        <w:pict>
          <v:shape id="_x0000_s20641" o:spid="_x0000_s1036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0641" inset="0,0,0,0">
              <w:txbxContent>
                <w:p w:rsidR="00CE4D4D" w:rsidRDefault="00CE4D4D">
                  <w:r>
                    <w:rPr>
                      <w:rtl/>
                    </w:rPr>
                    <w:t>6                                            ספר החוקים 209                  ה' בכסליו התשי"ז 09.11.1956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42" o:spid="_x0000_s1037" type="#_x0000_t202" style="position:absolute;left:0;text-align:left;margin-left:67.65pt;margin-top:765.95pt;width:147.9pt;height:40.2pt;z-index:12;mso-position-horizontal-relative:page;mso-position-vertical-relative:page" stroked="f">
            <v:textbox style="mso-next-textbox:#_x0000_s20642" inset="0,0,0,0">
              <w:txbxContent>
                <w:p w:rsidR="00CE4D4D" w:rsidRDefault="00CE4D4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A292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292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4ADE9AA-E11E-46C0-A560-18B7247A3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A292B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6777A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CE4D4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2008-04-06T19:00:00Z</dcterms:created>
  <dcterms:modified xsi:type="dcterms:W3CDTF">2008-04-06T19:00:00Z</dcterms:modified>
</cp:coreProperties>
</file>