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7A1C" w:rsidRDefault="00777A1C">
      <w:pPr>
        <w:rPr>
          <w:rtl/>
        </w:rPr>
      </w:pPr>
    </w:p>
    <w:p w:rsidR="00777A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737" inset="0,0,0,0">
              <w:txbxContent>
                <w:p w:rsidR="00C53C0B" w:rsidRDefault="00C53C0B">
                  <w:r>
                    <w:rPr>
                      <w:rtl/>
                    </w:rPr>
                    <w:t>8                                            ספר החוקים 438                 כ"ח בכסליו התשכ"ה 03.12.1964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38" o:spid="_x0000_s1026" type="#_x0000_t202" style="position:absolute;left:0;text-align:left;margin-left:86.7pt;margin-top:672.5pt;width:377.4pt;height:82.95pt;z-index:3;mso-position-horizontal-relative:page;mso-position-vertical-relative:page" stroked="f">
            <v:textbox style="mso-next-textbox:#_x0000_s20738" inset="0,0,0,0">
              <w:txbxContent>
                <w:p w:rsidR="00C53C0B" w:rsidRDefault="00C53C0B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בכסלו תשכ"ה (24 בנובמבר 1964); הצעת החוק ודברי הסבר פורסמו בה"ח 586, תשכ"ד,</w:t>
                  </w:r>
                </w:p>
                <w:p w:rsidR="00C53C0B" w:rsidRDefault="00C53C0B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עמ' 30.</w:t>
                  </w:r>
                </w:p>
                <w:p w:rsidR="00C53C0B" w:rsidRPr="00777A1C" w:rsidRDefault="00C53C0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 חוקי א"י, כרך א', פרק ל"ג, עמ' 431.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39" o:spid="_x0000_s1027" type="#_x0000_t202" style="position:absolute;left:0;text-align:left;margin-left:78.2pt;margin-top:138.7pt;width:467.85pt;height:521.95pt;z-index:2;mso-position-horizontal-relative:page;mso-position-vertical-relative:page" stroked="f">
            <v:textbox style="mso-next-textbox:#_x0000_s2073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0"/>
                    <w:gridCol w:w="1508"/>
                    <w:gridCol w:w="1200"/>
                  </w:tblGrid>
                  <w:tr w:rsidR="00C53C0B" w:rsidRPr="00777A1C">
                    <w:trPr>
                      <w:jc w:val="right"/>
                    </w:trPr>
                    <w:tc>
                      <w:tcPr>
                        <w:tcW w:w="4295" w:type="pct"/>
                        <w:gridSpan w:val="2"/>
                      </w:tcPr>
                      <w:p w:rsidR="00C53C0B" w:rsidRDefault="00C53C0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1./ בסעיף 2 לפקודת הפרוצידורה הפלילית (מעצר וחיפושים) 1 (להלן - הפקודה),</w:t>
                        </w:r>
                      </w:p>
                      <w:p w:rsidR="00C53C0B" w:rsidRPr="00777A1C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"שופט של בית משפט שלום", בסופה, יבוא "פרט לענין סעיף 9 לפקודה זו".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53C0B" w:rsidRPr="00777A1C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53C0B" w:rsidRPr="00777A1C">
                    <w:trPr>
                      <w:jc w:val="right"/>
                    </w:trPr>
                    <w:tc>
                      <w:tcPr>
                        <w:tcW w:w="4295" w:type="pct"/>
                        <w:gridSpan w:val="2"/>
                      </w:tcPr>
                      <w:p w:rsidR="00C53C0B" w:rsidRPr="00777A1C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9 לפקודה יבוא: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53C0B" w:rsidRPr="00777A1C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/\ (א) נעצר אדם בלא צו מאסר והובא לתחנת משטרה, ויש לקצין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כדרגת מפקח-משנה, או בדרגה גבוהה מזו, הממונה על תחנת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יסוד סביר לחשוד בו שביצע עבירה או להאשימו בה, רשאי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הקצין, לאחר שהודיע לו את טיב האשמה שבה הוא נחשד או נאשם,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שחררו, לעצור אותו או לשחררו בערובה: אולם אם נתקיים בו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מאלה, ייעצר ולא ישוחרר;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יש יסוד סביר להניח שהנעצר עכר עבירה שדינה מיתה,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עולם או מאסר חמש עשרה שנה או יותר, או עבירה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שופט של בית משפט שלום אינו מוסמך לשחרר בערובה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הנאשם או החשוד בה;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יסוד סביר להניח שהנעצר עכר עבירה שהיא פשע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עוון, ושאין לו מקום מגורים קבוע: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יש יסוד סביר להניח שהנעצר נמלט ממעצר או מאסר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/, (ב) בא אדם לתחנת המשטרה, מכל טעם שהוא, ויש לקצין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בדרגת מפקח-משנה, או בדרגה גבוהה מזו, הממונה על תחנת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יסוד סביר לחשוד בו שביצע עבירה או להאשימו כה, רשאי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הקצין, לאחר שהודיע לו את טיב האשמה שבה הוא נחשד או נאשם, ואם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שחררו, לדרוש ממנו ליתן ערובה, ואם לא ניתנה רשאי הקצין לעצרו.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אינו בא למעט מהוראות סעיף 3.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/, (ג) המפקח הכללי של המשטרה, באישור שר המשטרה, יקבע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 את המקומות שיהיו תחנות משטרה לענין סעיף</w:t>
                        </w:r>
                      </w:p>
                      <w:p w:rsidR="00C53C0B" w:rsidRPr="00777A1C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"מעצר ושחרור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קצין</w:t>
                        </w:r>
                      </w:p>
                      <w:p w:rsidR="00C53C0B" w:rsidRPr="00777A1C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9א./,(א) הערובה לפי סעיף 9 תהא בערבות עצמית של הנחשד או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הנאשם, בין לבדה ובין בצירוף ערבים, או בערבון כספי של הנחשד או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הנאשם, או של ערבים, הכל כפי שיורה קצין המשטרה שהורה על השחרור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בערובה.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/, (ב) שחרור לפי סעיף 9 הוא על תנאי שהנחשד או הנאשם יתייצב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לחקירות במשטרה ולמשפטו, בכל מועד שיידרש לכך.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/, (ג) ניתנה ערובה ולא הוגש אישום נגד הנחשד או הנאשם תוך</w:t>
                        </w:r>
                      </w:p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תשעים יום, בטלה הערובה.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הערובה</w:t>
                        </w:r>
                      </w:p>
                      <w:p w:rsidR="00C53C0B" w:rsidRPr="00777A1C" w:rsidRDefault="00C53C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53C0B" w:rsidRDefault="00C53C0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53C0B" w:rsidRDefault="00C53C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740" o:spid="_x0000_s1028" type="#_x0000_t202" style="position:absolute;left:0;text-align:left;margin-left:106.1pt;margin-top:87.05pt;width:346.1pt;height:44.75pt;z-index:1;mso-position-horizontal-relative:page;mso-position-vertical-relative:page" stroked="f">
            <v:textbox style="mso-next-textbox:#_x0000_s20740" inset="0,0,0,0">
              <w:txbxContent>
                <w:p w:rsidR="00C53C0B" w:rsidRDefault="00C53C0B">
                  <w:pPr>
                    <w:pStyle w:val="OCRStyle1"/>
                    <w:ind w:left="22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הפרוצידורה הפלילית (מעצר וחיפושים),</w:t>
                  </w:r>
                </w:p>
                <w:p w:rsidR="00C53C0B" w:rsidRPr="00777A1C" w:rsidRDefault="00C53C0B">
                  <w:pPr>
                    <w:pStyle w:val="OCRStyle1"/>
                    <w:ind w:left="24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תשכ"ה-1964 *</w:t>
                  </w:r>
                </w:p>
              </w:txbxContent>
            </v:textbox>
            <w10:wrap anchorx="page" anchory="page"/>
          </v:shape>
        </w:pict>
      </w:r>
    </w:p>
    <w:p w:rsidR="00B4497C" w:rsidRDefault="00B4497C">
      <w:pPr>
        <w:rPr>
          <w:rtl/>
        </w:rPr>
      </w:pPr>
      <w:r>
        <w:rPr>
          <w:rtl/>
        </w:rPr>
        <w:br w:type="page"/>
      </w:r>
    </w:p>
    <w:p w:rsidR="00B4497C" w:rsidRDefault="00000000">
      <w:pPr>
        <w:rPr>
          <w:rtl/>
        </w:rPr>
      </w:pPr>
      <w:r>
        <w:pict>
          <v:shape id="_x0000_s207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741" inset="0,0,0,0">
              <w:txbxContent>
                <w:p w:rsidR="00C53C0B" w:rsidRDefault="00C53C0B">
                  <w:r>
                    <w:rPr>
                      <w:rtl/>
                    </w:rPr>
                    <w:t>9                                            ספר החוקים 438                 כ"ח בכסליו התשכ"ה 03.12.1964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42" o:spid="_x0000_s1030" type="#_x0000_t202" style="position:absolute;left:0;text-align:left;margin-left:377.2pt;margin-top:726.55pt;width:181.15pt;height:22pt;z-index:6;mso-position-horizontal-relative:page;mso-position-vertical-relative:page" stroked="f">
            <v:textbox style="mso-next-textbox:#_x0000_s20742" inset="0,0,0,0">
              <w:txbxContent>
                <w:p w:rsidR="00C53C0B" w:rsidRDefault="00C53C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743" o:spid="_x0000_s1031" type="#_x0000_t202" style="position:absolute;left:0;text-align:left;margin-left:89.5pt;margin-top:77.5pt;width:471.45pt;height:638.75pt;z-index:5;mso-position-horizontal-relative:page;mso-position-vertical-relative:page" stroked="f">
            <v:textbox style="mso-next-textbox:#_x0000_s207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5627"/>
                    <w:gridCol w:w="1555"/>
                  </w:tblGrid>
                  <w:tr w:rsidR="00C53C0B" w:rsidRPr="00B4497C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"מי ששוחרר בערובה לפי סעיף 9 (ב), רשאי, תוך שבעה ימים מיום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כתב הערבות או הפקדת הערבון הכספי, לערור בפני בית משפט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על גובה הערבות או הערבון.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C53C0B" w:rsidRPr="00B4497C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C53C0B" w:rsidRPr="00B4497C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9ג. /(א) שוחרר אדם בערובה לפי סעיף 9 רשאי שוטר, בין מיזמתו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לפי פניית ערב, אם יש לו יסוד סביר להניח שהמשוחרר עומד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להימלט כדי להתחמק מן הדין, לעצור את המשוחרר ללא צו מעצר.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 שנעצר לפי סעיף זה נוהגים בו כאמור בסעיף 10.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/, (ב) משוחרר שנעצר לפי סעיף קטן (א) והובא בפני שופט של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 רשאי השופט, בלי למעט מסמכויותיו האחרות, לשחררו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הערובה שניתנה לפי סעיף 9, אולם אם ניתנה ערובה על ידי ערב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יעשה כן אלא לאחר שנתן לערב הזדמנות להשמיע דברו.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C53C0B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לאחר</w:t>
                        </w:r>
                      </w:p>
                      <w:p w:rsidR="00C53C0B" w:rsidRPr="00B4497C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ערובה</w:t>
                        </w:r>
                      </w:p>
                    </w:tc>
                  </w:tr>
                  <w:tr w:rsidR="00C53C0B" w:rsidRPr="00B4497C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9ד./(א) ניתנה ערובה והוכח לבית המשפט שהמשוחרר לא התייצב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שנדרש, רשאי הוא לצוות על חילוט הערובה, כולה או מקצתה, ללא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תנאי, או כתנאים שימצא לנכון, ורשאי הוא להורות כל הוראה לביצוע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החילוט.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 (ב) בכל עת לאחר מתן צו לפי סעיף קטן (א) רשאי בית המשפט,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מנימוקים שיירשמו, לבטלו או לשנותו, כפי שיראה לנכון.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C53C0B" w:rsidRPr="00B4497C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חילוט הערובה</w:t>
                        </w:r>
                      </w:p>
                    </w:tc>
                  </w:tr>
                  <w:tr w:rsidR="00C53C0B" w:rsidRPr="00B4497C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9ה./, (א) ביקש ערב מקצין המשטרה האמור בסעיף 9 לבטל את ערבותו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להחזיר את ערבונו הכספי, והמשוחרר התייצב בפני הקצין, ייענה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 לבקשת הערב; רשאי הוא להיענות לבקשה אף אם לא התייצב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המשוחרר כאמור, אולם אם היה סבור שאין להיענות לבקשה בלי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שהמשוחרר יובא לפניו, יורה על הבאתו לפניו.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 (ב) נענה קצין המשטרה לבקשת הערב, רשאי הוא לדרוש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מהמשוחרר ערובה אחרת, ואם לא הומצאה, לעצרו."</w:t>
                        </w:r>
                      </w:p>
                    </w:tc>
                    <w:tc>
                      <w:tcPr>
                        <w:tcW w:w="907" w:type="pct"/>
                      </w:tcPr>
                      <w:p w:rsidR="00C53C0B" w:rsidRPr="00B4497C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</w:t>
                        </w:r>
                      </w:p>
                    </w:tc>
                  </w:tr>
                  <w:tr w:rsidR="00C53C0B" w:rsidRPr="00B4497C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C53C0B" w:rsidRPr="00B4497C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C53C0B" w:rsidRPr="00B4497C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בסעיף 10 (1) לפקודה, במקום "הסעיף הקודם" יבוא "סעיף 9".</w:t>
                        </w:r>
                      </w:p>
                    </w:tc>
                  </w:tr>
                  <w:tr w:rsidR="00C53C0B" w:rsidRPr="00B4497C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C53C0B" w:rsidRPr="00B4497C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C53C0B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16 לפקודה, במקום "צו חיפוש המייפה את כוחו של האדם המכונה בצו לערוך</w:t>
                        </w:r>
                      </w:p>
                      <w:p w:rsidR="00C53C0B" w:rsidRPr="00B4497C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בכל בית או מקום" יבוא "צו לערוך חיפוש ככל בית או מקום (להלן - צו חיפוש)".</w:t>
                        </w:r>
                      </w:p>
                    </w:tc>
                  </w:tr>
                  <w:tr w:rsidR="00C53C0B" w:rsidRPr="00B4497C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C53C0B" w:rsidRPr="00B4497C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C53C0B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17 לפקודה, בסעיף קטן (1), במקום הדישה יבוא "צו חיפוש ישמש אסמכתה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שוטר, או לאדם אחר שנקב בית המשפט בצו אם ראה שהנסיבות מחייבות לייפות כוחו</w:t>
                        </w:r>
                      </w:p>
                      <w:p w:rsidR="00C53C0B" w:rsidRPr="00B4497C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 לכך".</w:t>
                        </w:r>
                      </w:p>
                    </w:tc>
                  </w:tr>
                  <w:tr w:rsidR="00C53C0B" w:rsidRPr="00B4497C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C53C0B" w:rsidRPr="00B4497C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C53C0B" w:rsidRPr="00B4497C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במקום סעיף 19 לפקודה יבוא:</w:t>
                        </w:r>
                      </w:p>
                    </w:tc>
                  </w:tr>
                  <w:tr w:rsidR="00C53C0B" w:rsidRPr="00B4497C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חיפוש, בין על פי צו ובין שלא על פי צו, ייערך בפני שני עדים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שוטרים, זולת -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לא ניתן, בנסיכות הענין ובגלל דחיפותו, לערכו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נסיבות הענין וטעמי דחיפותו יפורטו בפרוטוקול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שייערך;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הרשה שופט של בית משפט שלום לערכו בלא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נוכחות עדים;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המחזיק בבית או במקום בו נערך החיפוש, או אחד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ביתו הנוכחים שם, ביקש לערכו בלא נוכחות עדים;</w:t>
                        </w:r>
                      </w:p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תפורט בפרוטוקול שייערך."</w:t>
                        </w:r>
                      </w:p>
                    </w:tc>
                    <w:tc>
                      <w:tcPr>
                        <w:tcW w:w="907" w:type="pct"/>
                      </w:tcPr>
                      <w:p w:rsidR="00C53C0B" w:rsidRDefault="00C53C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"הנוהל בעריכת</w:t>
                        </w:r>
                      </w:p>
                      <w:p w:rsidR="00C53C0B" w:rsidRPr="00B4497C" w:rsidRDefault="00C53C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</w:t>
                        </w:r>
                      </w:p>
                    </w:tc>
                  </w:tr>
                </w:tbl>
                <w:p w:rsidR="00C53C0B" w:rsidRDefault="00C53C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8538C" w:rsidRDefault="0078538C">
      <w:pPr>
        <w:rPr>
          <w:rtl/>
        </w:rPr>
      </w:pPr>
      <w:r>
        <w:rPr>
          <w:rtl/>
        </w:rPr>
        <w:br w:type="page"/>
      </w:r>
    </w:p>
    <w:p w:rsidR="0078538C" w:rsidRDefault="00000000">
      <w:pPr>
        <w:rPr>
          <w:rtl/>
        </w:rPr>
      </w:pPr>
      <w:r>
        <w:pict>
          <v:shape id="_x0000_s2074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744" inset="0,0,0,0">
              <w:txbxContent>
                <w:p w:rsidR="00C53C0B" w:rsidRDefault="00C53C0B">
                  <w:r>
                    <w:rPr>
                      <w:rtl/>
                    </w:rPr>
                    <w:t>10                                           ספר החוקים 438                 כ"ח בכסליו התשכ"ה 03.12.1964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45" o:spid="_x0000_s1033" type="#_x0000_t202" style="position:absolute;left:0;text-align:left;margin-left:83.3pt;margin-top:725.2pt;width:189.5pt;height:23.75pt;z-index:9;mso-position-horizontal-relative:page;mso-position-vertical-relative:page" stroked="f">
            <v:textbox style="mso-next-textbox:#_x0000_s20745" inset="0,0,0,0">
              <w:txbxContent>
                <w:p w:rsidR="00C53C0B" w:rsidRDefault="00C53C0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746" o:spid="_x0000_s1034" type="#_x0000_t202" style="position:absolute;left:0;text-align:left;margin-left:86.7pt;margin-top:74.55pt;width:456.8pt;height:639.75pt;z-index:8;mso-position-horizontal-relative:page;mso-position-vertical-relative:page" stroked="f">
            <v:textbox style="mso-next-textbox:#_x0000_s207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2"/>
                    <w:gridCol w:w="1437"/>
                    <w:gridCol w:w="1206"/>
                  </w:tblGrid>
                  <w:tr w:rsidR="00C53C0B" w:rsidRPr="0078538C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29 לפקודה יבוא:</w:t>
                        </w:r>
                      </w:p>
                    </w:tc>
                    <w:tc>
                      <w:tcPr>
                        <w:tcW w:w="726" w:type="pct"/>
                        <w:vMerge w:val="restar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40-30</w:t>
                        </w: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רשאי שוטר לתפוס חפץ, תעודה, מסמך או בעל חיים (להלן -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חפץ) אם יש לו יסוד סביר להניח כי באותו חפץ נעברה עבירה, או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שעומדים לעבור בו עבירה או שהוא עשוי לשמש ראיה בהליך משפטי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עבירה.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לענין סעיף קטן (א).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לתפוס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חפצים</w:t>
                        </w:r>
                      </w:p>
                    </w:tc>
                    <w:tc>
                      <w:tcPr>
                        <w:tcW w:w="726" w:type="pct"/>
                        <w:vMerge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נתפס חפץ כאמור בסעיף 30, או הגיע לידי המשטרה חפץ שאחד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האמורים בסעיף 30 חל עליו, רשאית המשטרה, בכפוף לאמור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32, לשמרו עד אשר יוגש לבית המשפט.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התפוס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על פי בקשת שוטר שהוסמך לכך על ידי קצין משטרה בדרגת מפקח-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או בדרגה גבוהה מזו, דרך כלל או לענין מסויים, או על פי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אדם התובע זכות בחפץ, רשאי בית משפט שלום לצוות כי החפץ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 לתובע הזכות או לאדם פלוני, או שינהגו בו אחרת כפי שיורה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- הכל בתנאים שייקבעו בצו.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התפוס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צו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אם תוך ששה חדשים מיום תפיסת החפץ על-ידי המשטרה, או מיום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לידיה, לא הוגש המשפט אשר בו צריך החפץ לשמש ראיה ולא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צו על אותו חפץ לפי סעיף 32, תחזיר המשטרה את החפץ לאדם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מידיו נלקח: אך רשאי בית משפט שלום, לפי בקשת שוטר שהוסמך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על-ידי קצין משטרה בדרגת מפקח-משנה או בדרגה גבוהה מזו,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או לענין מסויים, או על פי בקשת אדם מעונין, להאריך את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בתנאים שיקבע.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התפוס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המשטרה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הוגש החפץ כראיה לבית המשפט, רשאי בית המשפט בין בפסק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בענין הנדון ובין בצו מיוחד, לצוות מה ייעשה בו: הוראות סעיף זה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 להוסיף על סמכויות בית המשפט לפי כל דין אחר ולא לגרוע מהן.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 בית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בתפוס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הוגש משפט ולא הוגש החפץ כראיה לבית המשפט, הרי אם היה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נגד אדם על עבירה שעבר ביחס לחפץ, רשאי בית המשפט לצוות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כסעיף 32; לא ניתן צו לפי סעיף 32 או שלא היה המשפט נגד אדם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עבירה כאמור, תחזיר המשטרה את החפץ לאדם שמידיו נלקח.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חפץ שלא הוגש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היה החפץ בעל חיים או מצרך העלול להתקלקל, בין בגלל טיבו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 ובין מסיבה אחרת, ולא ניתן עליו צו לפי סעיף 32, רשאי בית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השלום, על-פי בקשת שוטר שהוסמך לכך על-ידי קצין משטרה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מפקח-משנה או בדרגה גבוהה מזו, דרך כלל או לענין מסויים,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בקשת אדם התובע זכות בחפץ, לצוות שהחפץ יימכר במכרז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פומבי או כמחיר המקובל באותו יום: דמי המכר יוחזרו לאדם שמידיו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נלקח החפץ, אולם אם תוך המועדים שנקבעו על-פי סעיף 33 הוגש משפט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אדם על עבירה שעבר ביחס לחפץ שנתפס, ינהגו בדמי המכר כסי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בית המשפט.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מכירה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53C0B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על אף האמור בכל דין, רשאי בית המשפט, נוסף על כל עונש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שיטיל, לצוות על חילוט החפץ שנתפס לפי סעיף 30, או שהגיע לידי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כאמור בסעיף 31 אם האדם שהורשע במעשה העבירה שנעשה</w:t>
                        </w:r>
                      </w:p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 לחפץ הוא בעל החפץ; דין צו לפי סעיף זה כדין עונש שהוטל על</w:t>
                        </w:r>
                      </w:p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3C0B" w:rsidRPr="0078538C" w:rsidRDefault="00C53C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חילוט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53C0B" w:rsidRDefault="00C53C0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53C0B" w:rsidRDefault="00C53C0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14A33" w:rsidRDefault="00D14A33">
      <w:pPr>
        <w:rPr>
          <w:rtl/>
        </w:rPr>
      </w:pPr>
      <w:r>
        <w:rPr>
          <w:rtl/>
        </w:rPr>
        <w:br w:type="page"/>
      </w:r>
    </w:p>
    <w:p w:rsidR="00D14A33" w:rsidRDefault="00000000">
      <w:pPr>
        <w:rPr>
          <w:rtl/>
        </w:rPr>
      </w:pPr>
      <w:r>
        <w:pict>
          <v:shape id="_x0000_s20747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0747" inset="0,0,0,0">
              <w:txbxContent>
                <w:p w:rsidR="00C53C0B" w:rsidRDefault="00C53C0B">
                  <w:r>
                    <w:rPr>
                      <w:rtl/>
                    </w:rPr>
                    <w:t>11                                           ספר החוקים 438                 כ"ח בכסליו התשכ"ה 03.12.1964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48" o:spid="_x0000_s1036" type="#_x0000_t202" style="position:absolute;left:0;text-align:left;margin-left:367.15pt;margin-top:655.05pt;width:179.6pt;height:93.45pt;z-index:15;mso-position-horizontal-relative:page;mso-position-vertical-relative:page" stroked="f">
            <v:textbox style="mso-next-textbox:#_x0000_s20748" inset="0,0,0,0">
              <w:txbxContent>
                <w:p w:rsidR="00C53C0B" w:rsidRPr="00D14A33" w:rsidRDefault="00C53C0B">
                  <w:pPr>
                    <w:pStyle w:val="OCRStyle4"/>
                    <w:ind w:left="400"/>
                  </w:pPr>
                  <w:r>
                    <w:rPr>
                      <w:rtl/>
                    </w:rPr>
                    <w:t>2 ע''ר 1936, מס' 1 מס' 652, עמ' 285.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49" o:spid="_x0000_s1037" type="#_x0000_t202" style="position:absolute;left:0;text-align:left;margin-left:177.65pt;margin-top:387.95pt;width:87.5pt;height:38.8pt;z-index:14;mso-position-horizontal-relative:page;mso-position-vertical-relative:page" stroked="f">
            <v:textbox style="mso-next-textbox:#_x0000_s20749" inset="0,0,0,0">
              <w:txbxContent>
                <w:p w:rsidR="00C53C0B" w:rsidRDefault="00C53C0B">
                  <w:pPr>
                    <w:pStyle w:val="OCRStyle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53C0B" w:rsidRDefault="00C53C0B">
                  <w:pPr>
                    <w:pStyle w:val="OCRStyle4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50" o:spid="_x0000_s1038" type="#_x0000_t202" style="position:absolute;left:0;text-align:left;margin-left:303.2pt;margin-top:384.6pt;width:91.85pt;height:47.1pt;z-index:13;mso-position-horizontal-relative:page;mso-position-vertical-relative:page" stroked="f">
            <v:textbox style="mso-next-textbox:#_x0000_s20750" inset="0,0,0,0">
              <w:txbxContent>
                <w:p w:rsidR="00C53C0B" w:rsidRDefault="00C53C0B">
                  <w:pPr>
                    <w:pStyle w:val="OCRStyle4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53C0B" w:rsidRDefault="00C53C0B">
                  <w:pPr>
                    <w:pStyle w:val="OCRStyle4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51" o:spid="_x0000_s1039" type="#_x0000_t202" style="position:absolute;left:0;text-align:left;margin-left:416.85pt;margin-top:413.3pt;width:129.9pt;height:46.35pt;z-index:12;mso-position-horizontal-relative:page;mso-position-vertical-relative:page" stroked="f">
            <v:textbox style="mso-next-textbox:#_x0000_s20751" inset="0,0,0,0">
              <w:txbxContent>
                <w:p w:rsidR="00C53C0B" w:rsidRDefault="00C53C0B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53C0B" w:rsidRDefault="00C53C0B">
                  <w:pPr>
                    <w:pStyle w:val="OCRStyle4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52" o:spid="_x0000_s1040" type="#_x0000_t202" style="position:absolute;left:0;text-align:left;margin-left:107.75pt;margin-top:72.95pt;width:446.5pt;height:303.35pt;z-index:11;mso-position-horizontal-relative:page;mso-position-vertical-relative:page" stroked="f">
            <v:textbox style="mso-next-textbox:#_x0000_s2075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4"/>
                    <w:gridCol w:w="5554"/>
                    <w:gridCol w:w="1570"/>
                  </w:tblGrid>
                  <w:tr w:rsidR="00C53C0B" w:rsidRPr="00D14A3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1" w:type="pct"/>
                      </w:tcPr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היה אדם שאיננו שותף לעבירה טוען לבעלות על החפץ שחולט או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בו, רשאי הוא, תוך שנה מיום מתן צו החילוט או תוך מועד נוסף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באותו צו, לבקש מאת בית המשפט שציווה על החילוט לבטל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הצו, ורשאי בית המשפט לעשות כן ולצוות על מסירת החפץ למבקש,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לבעלותו או לשם מימוש זכותו בלבד, הכל לפי הענין.</w:t>
                        </w:r>
                      </w:p>
                    </w:tc>
                    <w:tc>
                      <w:tcPr>
                        <w:tcW w:w="967" w:type="pct"/>
                      </w:tcPr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טענת בעלות או</w:t>
                        </w:r>
                      </w:p>
                      <w:p w:rsidR="00C53C0B" w:rsidRPr="00D14A33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מצד אדם</w:t>
                        </w:r>
                      </w:p>
                    </w:tc>
                  </w:tr>
                  <w:tr w:rsidR="00C53C0B" w:rsidRPr="00D14A3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1" w:type="pct"/>
                      </w:tcPr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נמכר החפץ שהוחלט למסרו כאמור בסעיף 38, יבואו דמי מכרו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במקומו: אבד החפץ - רשאי בית המשפט, אם שוכנע שהיתה פשיעה או</w:t>
                        </w:r>
                      </w:p>
                      <w:p w:rsidR="00C53C0B" w:rsidRPr="00D14A33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 בשמירתו, לחייב את אוצר המדינה בנזיקין בסכום שיקבע.</w:t>
                        </w:r>
                      </w:p>
                    </w:tc>
                    <w:tc>
                      <w:tcPr>
                        <w:tcW w:w="967" w:type="pct"/>
                      </w:tcPr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תפוס שנמכר</w:t>
                        </w:r>
                      </w:p>
                      <w:p w:rsidR="00C53C0B" w:rsidRPr="00D14A33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אבד</w:t>
                        </w:r>
                      </w:p>
                    </w:tc>
                  </w:tr>
                  <w:tr w:rsidR="00C53C0B" w:rsidRPr="00D14A3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1" w:type="pct"/>
                      </w:tcPr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חפץ או דמי מכרו, שעל המשטרה להחזירו לאדם לסי חוק זה, ואותו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נדרש בכתב לבוא למקום שנקבע ולקבלו, ולא עשה כן תוך ששה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שנמסרה לו הדרישה, או שתוך ששה חדשים מן היום שבו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המשטרה להחזירו לא נודע לה מקום הימצאו על אף שפעלה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בשקידה סבירה לגילויו - רואים אותו כנכס ללא בעלים ויחולט לאוצר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משלוח דרישה בדואר רשום לסי המען שמסר אותו</w:t>
                        </w:r>
                      </w:p>
                      <w:p w:rsidR="00C53C0B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במשטרה, ישמש ראיה לכאורה שהדרישה נמסרה לו תוך 48 שעות</w:t>
                        </w:r>
                      </w:p>
                      <w:p w:rsidR="00C53C0B" w:rsidRPr="00D14A33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 משלוחה."</w:t>
                        </w:r>
                      </w:p>
                    </w:tc>
                    <w:tc>
                      <w:tcPr>
                        <w:tcW w:w="967" w:type="pct"/>
                      </w:tcPr>
                      <w:p w:rsidR="00C53C0B" w:rsidRPr="00D14A33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חפץ ללא בעל</w:t>
                        </w:r>
                      </w:p>
                    </w:tc>
                  </w:tr>
                  <w:tr w:rsidR="00C53C0B" w:rsidRPr="00D14A3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53C0B" w:rsidRPr="00D14A33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388" w:type="pct"/>
                        <w:gridSpan w:val="2"/>
                      </w:tcPr>
                      <w:p w:rsidR="00C53C0B" w:rsidRPr="00D14A33" w:rsidRDefault="00C53C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סעיף 26 לפקודה, וסעיף 388 לפקודת החוק הפלילי, 1936 2- בטלים.</w:t>
                        </w:r>
                      </w:p>
                    </w:tc>
                  </w:tr>
                </w:tbl>
                <w:p w:rsidR="00C53C0B" w:rsidRDefault="00C53C0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53C0B" w:rsidRDefault="00C53C0B">
      <w:pPr>
        <w:rPr>
          <w:rtl/>
        </w:rPr>
      </w:pPr>
      <w:r>
        <w:rPr>
          <w:rtl/>
        </w:rPr>
        <w:br w:type="page"/>
      </w:r>
    </w:p>
    <w:p w:rsidR="00C53C0B" w:rsidRDefault="00000000">
      <w:pPr>
        <w:rPr>
          <w:rtl/>
        </w:rPr>
      </w:pPr>
      <w:r>
        <w:pict>
          <v:shape id="_x0000_s20753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0753" inset="0,0,0,0">
              <w:txbxContent>
                <w:p w:rsidR="00C53C0B" w:rsidRDefault="00C53C0B">
                  <w:r>
                    <w:rPr>
                      <w:rtl/>
                    </w:rPr>
                    <w:t>12                                           ספר החוקים 438                 כ"ח בכסליו התשכ"ה 03.12.1964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54" o:spid="_x0000_s1042" type="#_x0000_t202" style="position:absolute;left:0;text-align:left;margin-left:88pt;margin-top:705.7pt;width:167.5pt;height:49.1pt;z-index:17;mso-position-horizontal-relative:page;mso-position-vertical-relative:page" stroked="f">
            <v:textbox style="mso-next-textbox:#_x0000_s20754" inset="0,0,0,0">
              <w:txbxContent>
                <w:p w:rsidR="00C53C0B" w:rsidRDefault="00C53C0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77A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F8DA9E-767A-4765-8F08-E4DBA4BE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7A1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4497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8538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14A3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53C0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2008-04-09T14:17:00Z</dcterms:created>
  <dcterms:modified xsi:type="dcterms:W3CDTF">2008-04-09T14:18:00Z</dcterms:modified>
</cp:coreProperties>
</file>