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4348" w:rsidRDefault="00674348">
      <w:pPr>
        <w:rPr>
          <w:rtl/>
        </w:rPr>
      </w:pPr>
    </w:p>
    <w:p w:rsidR="006743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785" inset="0,0,0,0">
              <w:txbxContent>
                <w:p w:rsidR="000D2D4F" w:rsidRDefault="000D2D4F">
                  <w:r>
                    <w:rPr>
                      <w:rtl/>
                    </w:rPr>
                    <w:t>192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6" o:spid="_x0000_s1026" type="#_x0000_t202" style="position:absolute;left:0;text-align:left;margin-left:85.3pt;margin-top:635.75pt;width:384.7pt;height:77.6pt;z-index:3;mso-wrap-style:none;mso-position-horizontal-relative:page;mso-position-vertical-relative:page" stroked="f">
            <v:textbox style="mso-next-textbox:#_x0000_s20786" inset="0,0,0,0">
              <w:txbxContent>
                <w:p w:rsidR="000D2D4F" w:rsidRDefault="000D2D4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1508,</w:t>
                  </w:r>
                </w:p>
                <w:p w:rsidR="000D2D4F" w:rsidRDefault="000D2D4F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168.</w:t>
                  </w:r>
                </w:p>
                <w:p w:rsidR="000D2D4F" w:rsidRDefault="000D2D4F">
                  <w:pPr>
                    <w:pStyle w:val="OCRStyle1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161; התשמ"א, עמ' 144.</w:t>
                  </w:r>
                </w:p>
                <w:p w:rsidR="000D2D4F" w:rsidRPr="00674348" w:rsidRDefault="000D2D4F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להלן.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7" o:spid="_x0000_s1027" type="#_x0000_t202" style="position:absolute;left:0;text-align:left;margin-left:86.9pt;margin-top:87.5pt;width:464.1pt;height:543.1pt;z-index:2;mso-wrap-style:none;mso-position-horizontal-relative:page;mso-position-vertical-relative:page" stroked="f">
            <v:textbox style="mso-next-textbox:#_x0000_s20787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195"/>
                    <w:gridCol w:w="1364"/>
                  </w:tblGrid>
                  <w:tr w:rsidR="000D2D4F" w:rsidRPr="00674348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0D2D4F" w:rsidRDefault="000D2D4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סדר הדין הפלילי, התשכ"ה-11965 (להלן - החוק העיקרי), האמור בסעיף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יסומן (א) ואחריו יבוא: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בעבירות מן המנויות בתוספת הראשונה שנעברו במצרכי מזון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ובעבירות לפי חוק הגנת הצרכן, התשמ"א-21981, גם בית המשפט אשר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שיפוטו שווק או נמכר המצרך מוסמך לדון את הנאשם, ואם הוא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היצרן - גם בית המשפט אשר באזור שיפוטו מתגורר המתלונן.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בצו, באישור ועדת החוקה חוק ומשפט של הכנסת,</w:t>
                        </w:r>
                      </w:p>
                      <w:p w:rsidR="000D2D4F" w:rsidRPr="00674348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את התוספת הראשונה או להוסיף עליה או לגרוע ממנה."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D2D4F" w:rsidRPr="00674348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0D2D4F" w:rsidRPr="00674348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0D2D4F" w:rsidRPr="00674348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13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D2D4F" w:rsidRPr="00674348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0D2D4F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נאשם שאין לו סניגור, או חשוד בעבירה אשר לשם בירורה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הוחלט לגבות-עדות לאלתר לפי סעיף 106 ואין לו סניגור, ימנה לו בית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סניגור אם נתקיים בו אחד מאלה: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הואשם ברצח או בעבירה שדינה מיתה או מאסר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עולם או שהואשם בבית משפט מחוזי בעבירה שדינה מאסר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או יותר, או שהוא חשוד בביצוע עבירה כאמור;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מלאו לו שש עשרה שנים והוא הובא לפני בית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שאינו בית משפט לנוער;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אילם, עיוור או חרש.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בית המשפט שלערעור רשאי לא למנות סניגור אם הנאשם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זאת ובית המשפט ראה שלא ייגרם לו אי-צדק אם לא ייוצג על ידי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סניגור.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שהוא מחוסר אמצעים או שיש חשש שהוא חולה נפש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לקוי בכשרו השכלי ואין לו סניגור, רשאי בית המשפט - לבקשת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דין או מיוזמתו הוא - למנות לו סניגור.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חשוד או עצור שאין חובה למנות לו סניגור ונתקיימו בו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בסעיף קטן (א)(1) עד (3) או (ג), רשאי בית המש-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 - לבקשת אותו אדם, לבקשת תובע או מיוזמתו הוא - למנות לו</w:t>
                        </w:r>
                      </w:p>
                      <w:p w:rsidR="000D2D4F" w:rsidRPr="00674348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סניגור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בית</w:t>
                        </w:r>
                      </w:p>
                      <w:p w:rsidR="000D2D4F" w:rsidRPr="00674348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674348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0D2D4F" w:rsidRPr="00674348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במקום סעיף 27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D2D4F" w:rsidRPr="00674348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0D2D4F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נעצר אדם, תימסר ללא שיהוי ידיעה על מעצרו ועל מקום</w:t>
                        </w:r>
                      </w:p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הימצאו במעצר לאדם הקרוב אליו, אם ידוע מקום הימצאו של אותו</w:t>
                        </w:r>
                      </w:p>
                      <w:p w:rsidR="000D2D4F" w:rsidRPr="00674348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זולת אם ביקש העצור שלא להודיע כאמור.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הודעות</w:t>
                        </w:r>
                      </w:p>
                      <w:p w:rsidR="000D2D4F" w:rsidRPr="00674348" w:rsidRDefault="000D2D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מעצר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D2D4F" w:rsidRDefault="000D2D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D2D4F" w:rsidRDefault="000D2D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88" o:spid="_x0000_s1028" type="#_x0000_t202" style="position:absolute;left:0;text-align:left;margin-left:138.55pt;margin-top:54.65pt;width:284.15pt;height:27.7pt;z-index:1;mso-wrap-style:none;mso-position-horizontal-relative:page;mso-position-vertical-relative:page" stroked="f">
            <v:textbox style="mso-next-textbox:#_x0000_s20788" inset="0,0,0,0">
              <w:txbxContent>
                <w:p w:rsidR="000D2D4F" w:rsidRPr="00674348" w:rsidRDefault="000D2D4F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סדר הדין הפלילי (תיקון מס' 15), התשמ"א-1981 *</w:t>
                  </w:r>
                </w:p>
              </w:txbxContent>
            </v:textbox>
            <w10:wrap anchorx="page" anchory="page"/>
          </v:shape>
        </w:pict>
      </w:r>
    </w:p>
    <w:p w:rsidR="00C860BC" w:rsidRDefault="00C860BC">
      <w:pPr>
        <w:rPr>
          <w:rtl/>
        </w:rPr>
      </w:pPr>
      <w:r>
        <w:rPr>
          <w:rtl/>
        </w:rPr>
        <w:br w:type="page"/>
      </w:r>
    </w:p>
    <w:p w:rsidR="00C860BC" w:rsidRDefault="00000000">
      <w:pPr>
        <w:rPr>
          <w:rtl/>
        </w:rPr>
      </w:pPr>
      <w:r>
        <w:pict>
          <v:shape id="_x0000_s207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789" inset="0,0,0,0">
              <w:txbxContent>
                <w:p w:rsidR="000D2D4F" w:rsidRDefault="000D2D4F">
                  <w:r>
                    <w:rPr>
                      <w:rtl/>
                    </w:rPr>
                    <w:t>193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0" o:spid="_x0000_s1030" type="#_x0000_t202" style="position:absolute;left:0;text-align:left;margin-left:378.45pt;margin-top:623.15pt;width:174.85pt;height:92.05pt;z-index:6;mso-wrap-style:none;mso-position-horizontal-relative:page;mso-position-vertical-relative:page" stroked="f">
            <v:textbox style="mso-next-textbox:#_x0000_s20790" inset="0,0,0,0">
              <w:txbxContent>
                <w:p w:rsidR="000D2D4F" w:rsidRDefault="000D2D4F">
                  <w:pPr>
                    <w:pStyle w:val="OCRStyle2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התשל"ז, עמ' 226.</w:t>
                  </w:r>
                </w:p>
                <w:p w:rsidR="000D2D4F" w:rsidRDefault="000D2D4F">
                  <w:pPr>
                    <w:pStyle w:val="OCRStyle2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1945, תוס' 2, עמ' .855</w:t>
                  </w:r>
                </w:p>
                <w:p w:rsidR="000D2D4F" w:rsidRDefault="000D2D4F">
                  <w:pPr>
                    <w:pStyle w:val="OCRStyle2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התש"ח, תוס' א', עמ' .73</w:t>
                  </w:r>
                </w:p>
                <w:p w:rsidR="000D2D4F" w:rsidRDefault="000D2D4F">
                  <w:pPr>
                    <w:pStyle w:val="OCRStyle2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התשי"ד, עמ' .160</w:t>
                  </w:r>
                </w:p>
                <w:p w:rsidR="000D2D4F" w:rsidRPr="00C860BC" w:rsidRDefault="000D2D4F">
                  <w:pPr>
                    <w:pStyle w:val="OCRStyle2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ד ס"ח התשכ"ח,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1" o:spid="_x0000_s1031" type="#_x0000_t202" style="position:absolute;left:0;text-align:left;margin-left:88.4pt;margin-top:53.3pt;width:464.9pt;height:569.05pt;z-index:5;mso-wrap-style:none;mso-position-horizontal-relative:page;mso-position-vertical-relative:page" stroked="f">
            <v:textbox style="mso-next-textbox:#_x0000_s20791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5795"/>
                    <w:gridCol w:w="1224"/>
                  </w:tblGrid>
                  <w:tr w:rsidR="000D2D4F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לבקשתו של עצור, ובכפוף לאמור בסעיף 12 -- תימסר הו-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כאמור בסעיף קטן (א) גם לעורך דין שהעצור נקב בשמו.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נעצר אדם והובא לתחנת משטרה, יודיע לו הממונה על התחנה,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להגיעו לתחנה, את זכויותיו האמורות בסעיפים קטנים (א) ו- (ב)."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C860B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0D2D4F" w:rsidRPr="00C860BC" w:rsidRDefault="000D2D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27א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0D2D4F" w:rsidRPr="00C860BC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27 לחוק העיקרי יבוא:</w:t>
                        </w:r>
                      </w:p>
                    </w:tc>
                  </w:tr>
                  <w:tr w:rsidR="000D2D4F" w:rsidRPr="00C860B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עצור זכאי להיפגש עם עורך-דין ולהיוועץ בו.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פגישת העצור עם עורך הדין תיעשה ביחידות ובתנאים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המבטיחים את סודיות השיחה, אולם באופן המאפשר פיקוח על תנועותיו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והתנהגותו של העצור.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ביקש עצור להיפגש עם עורך-דין, או ביקש עורך-דין שמינהו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הקרוב לעצור להיפגש עם העצור, יאפשר זאת האחראי על מקום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בהקדם האפשרי.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נמצא העצור בהליכי חקירה או בפעולות אחרות הקשורות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בחקירה, וסבר קצין משטרה בדרגת רב-פקד ומעלה כי הפסקת ההליכים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הפעולות עלולה לסכל את החקירה, רשאי הוא להורות, בהחלטה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 בכתב, שפגישת העצור עם עורך-הדין תידחה לשעות ספורות;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הדין אם הפגישה עלולה לסכל או לשבש מעצרם של חשודים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באותו ענין.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(ג), רשאי קצין משטרה בדרגת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רב-פקד ומעלה, בהחלטה מנומקת בכתב, להורות שלא לאפשר פגישת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 עם עורך-דין לתקופה שלא תעלה על 48 שעות משעת המעצר,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שהדבר דרוש לשם שמירה על בטחון המדינה או על חיי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לצורך סיכול הפשע; אין באמור כדי לגרוע מזכותו של עצור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זאת, שתינתן לו הזדמנות סבירה להיפגש עם עורך-דין לפני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 לבית המשפט בענין מעצרו.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סעיפים קטנים (ג) עד (ה) וסעיף 27(ב) ו- (ג) לא יחולו לעניו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 החשוד בעבירה לפי סימנים בי או ד' לפרק ז' לחוק העונשין,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התשל"ז-31977, לפי סעיפים 58 עד 60, 62, 64, 66, 67, 84 או 85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ההגנה (שעת חירום), 41945, לפי סעיפים 2 או 3 לפקודת מניעת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טרור, התש"ח-1948 5, או לפי חוק למניעת הסתננות (עבירות ושיפוט),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התשי"ד-1954 6, וכן לענין עצור שנעצר לפי תקנות-שעת-חירום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(יהודה והשומרון, חבל עזה, רמת-הגולן, סיני ודרום סיני - שיפוט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התשכ"ז-71967, והוא חשוד בעבירה שאילו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בישראל היתה אחת מהעבירות המנויות בסעיף קטן זה; פגישת</w:t>
                        </w:r>
                      </w:p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עם עצור החשוד בעבירה כאמור תהיה בהתאם לתקנות שית-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"פגישה עם</w:t>
                        </w:r>
                      </w:p>
                      <w:p w:rsidR="000D2D4F" w:rsidRPr="00C860BC" w:rsidRDefault="000D2D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עורך--דין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8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0D2D4F" w:rsidRDefault="000D2D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D2D4F" w:rsidRDefault="000D2D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A1420" w:rsidRDefault="00EA1420">
      <w:pPr>
        <w:rPr>
          <w:rtl/>
        </w:rPr>
      </w:pPr>
      <w:r>
        <w:rPr>
          <w:rtl/>
        </w:rPr>
        <w:br w:type="page"/>
      </w:r>
    </w:p>
    <w:p w:rsidR="00EA1420" w:rsidRDefault="00000000">
      <w:pPr>
        <w:rPr>
          <w:rtl/>
        </w:rPr>
      </w:pPr>
      <w:r>
        <w:pict>
          <v:shape id="_x0000_s2079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792" inset="0,0,0,0">
              <w:txbxContent>
                <w:p w:rsidR="000D2D4F" w:rsidRDefault="000D2D4F">
                  <w:r>
                    <w:rPr>
                      <w:rtl/>
                    </w:rPr>
                    <w:t>194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3" o:spid="_x0000_s1033" type="#_x0000_t202" style="position:absolute;left:0;text-align:left;margin-left:88.65pt;margin-top:696.6pt;width:158.4pt;height:26.55pt;z-index:9;mso-wrap-style:none;mso-position-horizontal-relative:page;mso-position-vertical-relative:page" stroked="f">
            <v:textbox style="mso-next-textbox:#_x0000_s20793" inset="0,0,0,0">
              <w:txbxContent>
                <w:p w:rsidR="000D2D4F" w:rsidRDefault="000D2D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794" o:spid="_x0000_s1034" type="#_x0000_t202" style="position:absolute;left:0;text-align:left;margin-left:77.55pt;margin-top:56.1pt;width:480.35pt;height:628.45pt;z-index:8;mso-wrap-style:none;mso-position-horizontal-relative:page;mso-position-vertical-relative:page" stroked="f">
            <v:textbox style="mso-next-textbox:#_x0000_s20794" inset="0,0,0,0">
              <w:txbxContent>
                <w:tbl>
                  <w:tblPr>
                    <w:tblW w:w="51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2"/>
                    <w:gridCol w:w="1214"/>
                    <w:gridCol w:w="1547"/>
                  </w:tblGrid>
                  <w:tr w:rsidR="000D2D4F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קין שר המשפטים בהתייעצות עם שר הבטחת ובאישור ועדת החוקה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ובלבד שדחיית הפגישה עם עורך הדין לפי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לא תעלה על חמישה עשר ימים."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6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EA1420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28 לחוק העיקרי -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"בסעיף 27" יבוא "בסעיפים 27 ו-27א" ואחרי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"למי שיקבע" יבוא "או שהעצור לא ייפגש עם עורך-דין" ;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''לפי סעיף זה'' יבוא "לפי סעיף קטן (א)'';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אדם חשוד בעבירה לפי אחד החיקוקים הנזכרים בסעיף 27א(ו),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שופט בית משפט מחוזי להרשות כאמור בסעיף קטן (א) לתקופה או.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שלא יעלו יחד על חמישה עשר ימים, אם שר הבטחון אישר בכתב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שבטחון המדינה מחייב זאת; לענין פגישת עצור עם עורך דין אין באמור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כדי לגרוע מהסמכות האמורה בסעיף 27א(ו)' וימי עיכוב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הפגישה לפי סעיף 27א(ו) לא יבואו במנין חמישה עשר הימים האמורים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זה.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בקשה לפי סעיף זה תידון במעמד צד אחד בלבד ומטעם המבקש</w:t>
                        </w:r>
                      </w:p>
                      <w:p w:rsidR="000D2D4F" w:rsidRPr="00EA1420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יתייצב שוטר בדרגת פקד ומעלה."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0D2D4F" w:rsidRPr="00EA1420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29 לחוק העיקרי יבוא: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נעצר אדם ושוחרר בלא שהוגש נגדו כתב אישום, ומצא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שלא היה יסוד למעצר או שראה נסיבות אחרות המצדיקות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האדם, רשאי הוא לצוות כי אוצר המדינה ישלם לו פיצוי על מעצרו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הגנתו, בסכום שיקבע בית המשפט.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נעצר אדם ושוחרר ומצא בית המשפט שהמעצר היה עקב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תלונת סרק שהוגשה שלא בתום לב, רשאי בית המשפט לחייב את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המתלונן, לאחר שנתן לו הזדמנות סבירה לטעון טענותיו לענין זה,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למי שנעצר פיצוי על מעצרו והוצאות הגנתו, בסכום שיקבע בית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המשפטים, באישור ועדת החוקה חוק ומשפט של הכנסת,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-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ההליכים בבקשה לפיצוי לפי סעיף זה, בין לפני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פניה לבית המשפט ובין בבית המשפט; 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סכומי מקסימום לפיצוי לפי סעיף קטן (א).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בית משפט לפי סעיף זה ניתנת לערעור כפסק דין</w:t>
                        </w:r>
                      </w:p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 בשל מעצר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EA1420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במקום סעיף 33 לחוק העיקרי יבוא: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 עצור, משוחרר בערובה ותובע רשאים לפנות לבית המשפט בבקשה</w:t>
                        </w:r>
                      </w:p>
                      <w:p w:rsidR="000D2D4F" w:rsidRPr="00EA1420" w:rsidRDefault="000D2D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חוזר בהחלטה שנתן בענין הנוגע למעצר או לשחרור, לרבות</w:t>
                        </w:r>
                      </w:p>
                    </w:tc>
                    <w:tc>
                      <w:tcPr>
                        <w:tcW w:w="695" w:type="pct"/>
                      </w:tcPr>
                      <w:p w:rsidR="000D2D4F" w:rsidRPr="00EA1420" w:rsidRDefault="000D2D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"עיון חוזר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D2D4F" w:rsidRDefault="000D2D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D2D4F" w:rsidRDefault="000D2D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76C66" w:rsidRDefault="00376C66">
      <w:pPr>
        <w:rPr>
          <w:rtl/>
        </w:rPr>
      </w:pPr>
      <w:r>
        <w:rPr>
          <w:rtl/>
        </w:rPr>
        <w:br w:type="page"/>
      </w:r>
    </w:p>
    <w:p w:rsidR="00376C66" w:rsidRDefault="00000000">
      <w:pPr>
        <w:rPr>
          <w:rtl/>
        </w:rPr>
      </w:pPr>
      <w:r>
        <w:pict>
          <v:shape id="_x0000_s2079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795" inset="0,0,0,0">
              <w:txbxContent>
                <w:p w:rsidR="000D2D4F" w:rsidRDefault="000D2D4F">
                  <w:r>
                    <w:rPr>
                      <w:rtl/>
                    </w:rPr>
                    <w:t>195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6" o:spid="_x0000_s1036" type="#_x0000_t202" style="position:absolute;left:0;text-align:left;margin-left:376.6pt;margin-top:693.95pt;width:165.35pt;height:26.55pt;z-index:12;mso-wrap-style:none;mso-position-horizontal-relative:page;mso-position-vertical-relative:page" stroked="f">
            <v:textbox style="mso-next-textbox:#_x0000_s20796" inset="0,0,0,0">
              <w:txbxContent>
                <w:p w:rsidR="000D2D4F" w:rsidRDefault="000D2D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797" o:spid="_x0000_s1037" type="#_x0000_t202" style="position:absolute;left:0;text-align:left;margin-left:83.95pt;margin-top:53.4pt;width:466.5pt;height:632.6pt;z-index:11;mso-wrap-style:none;mso-position-horizontal-relative:page;mso-position-vertical-relative:page" stroked="f">
            <v:textbox style="mso-next-textbox:#_x0000_s20797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800"/>
                    <w:gridCol w:w="1289"/>
                  </w:tblGrid>
                  <w:tr w:rsidR="000D2D4F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לפי סעיף זה, אם נתגלו עובדות חדשות או נשתנו נסיבות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והדבר עשוי לשנות את החלטתו הקודמת של בית המשפט."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34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34 לחוק העיקרי יבוא: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עצור, משוחרר בערובה ותובע רשאים לערור על החלטה בענין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למעצר או לשחרור או לבקשה לעיון חוזר, לפני בית המשפט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שלערעור שידון בערר בשופט אחד; נתן בית המשפט המחוזי החלטה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וטרם הוגש כתב אישום על החשוד בעבירה, רשאים הם לערור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בית המשפט העליון שידון בערר זה בשופט אחד."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2D4F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60 לחוק העיקרי -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"אצילת סמכות לענין ערר";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היועץ המשפטי לממשלה רשאי -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לאצול למשנה לפרקליט המדינה - דרך כלל, לסוגי ענינים או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מסויים - את הסמכות להחליט בעררים, למעט ערר על החלטת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תובע, שהוא פרקליט מפרקליטות המדינה, לא להעמיד לדין מפני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במשפט ענין לציבור;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לאצול לפרקליט בדרגת סגן בכיר לפרקליט המדינה ומעלה -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לסוגי ענינים או לענין מסויים - את הסמכות להחליט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בעררים על החלטת תובע כאמור בסעיף 10 (א) (2) שלא להעמיד לדין</w:t>
                        </w:r>
                      </w:p>
                      <w:p w:rsidR="000D2D4F" w:rsidRPr="00376C66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העדר ראיות מספיקות."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106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2D4F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106 לחוק העיקרי, אחרי "במהלך המשפט" יבוא "או אם מצא שיש חשש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שאמצעי לחץ, איום, הפחדה, כוח או הבטחת טובת הנאה יניאו את העד מלמסור עדות</w:t>
                        </w:r>
                      </w:p>
                      <w:p w:rsidR="000D2D4F" w:rsidRPr="00376C66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אמת במהלך המשפט".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2D4F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107 לחוק העיקרי, המלים "במידת האפשר" - יימחקו, ובסופו יבוא "זולת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החליט בית המשפט, מטעמים מיוחדים שיירשמו, לגבותה שלא בפניו של הנאשם או</w:t>
                        </w:r>
                      </w:p>
                      <w:p w:rsidR="000D2D4F" w:rsidRPr="00376C66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שעשוי להיות נאשם".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110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2D4F" w:rsidRPr="00376C66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110 לחוק העיקרי יבוא:</w:t>
                        </w:r>
                      </w:p>
                    </w:tc>
                  </w:tr>
                  <w:tr w:rsidR="000D2D4F" w:rsidRPr="00376C6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עדות שנגבתה לפי סעיף 106 דינה כדין עדות שנגבתה במהלך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אך בית המשפט ירשה להזמין את העד לעדות נוספת אם ניתן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את העד לבית המשפט ונתקיים אחד מאלה: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היתה לנאשם הזדמנות לחקור את העד;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ניתנה לנאשם הזדמנות סבירה למנות לעצמו סניגור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שיהיה נוכח בעת גביית העדות ויחקור   את העד, או לא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מונה לו סניגור מקום שהיתה חובה למנותו;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סבור, מטעמים שיירשמו, שהדבר דרוש</w:t>
                        </w:r>
                      </w:p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האמת או לעשיית צדק."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0D2D4F" w:rsidRDefault="000D2D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"העדות כראיה</w:t>
                        </w:r>
                      </w:p>
                      <w:p w:rsidR="000D2D4F" w:rsidRPr="00376C66" w:rsidRDefault="000D2D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</w:t>
                        </w:r>
                      </w:p>
                    </w:tc>
                  </w:tr>
                </w:tbl>
                <w:p w:rsidR="000D2D4F" w:rsidRDefault="000D2D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C25FC" w:rsidRDefault="003C25FC">
      <w:pPr>
        <w:rPr>
          <w:rtl/>
        </w:rPr>
      </w:pPr>
      <w:r>
        <w:rPr>
          <w:rtl/>
        </w:rPr>
        <w:br w:type="page"/>
      </w:r>
    </w:p>
    <w:p w:rsidR="003C25FC" w:rsidRDefault="00000000">
      <w:pPr>
        <w:rPr>
          <w:rtl/>
        </w:rPr>
      </w:pPr>
      <w:r>
        <w:pict>
          <v:shape id="_x0000_s2079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0798" inset="0,0,0,0">
              <w:txbxContent>
                <w:p w:rsidR="000D2D4F" w:rsidRDefault="000D2D4F">
                  <w:r>
                    <w:rPr>
                      <w:rtl/>
                    </w:rPr>
                    <w:t>196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9" o:spid="_x0000_s1039" type="#_x0000_t202" style="position:absolute;left:0;text-align:left;margin-left:93.45pt;margin-top:694.85pt;width:169.7pt;height:26.75pt;z-index:15;mso-wrap-style:none;mso-position-horizontal-relative:page;mso-position-vertical-relative:page" stroked="f">
            <v:textbox style="mso-next-textbox:#_x0000_s20799" inset="0,0,0,0">
              <w:txbxContent>
                <w:p w:rsidR="000D2D4F" w:rsidRDefault="000D2D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800" o:spid="_x0000_s1040" type="#_x0000_t202" style="position:absolute;left:0;text-align:left;margin-left:84.95pt;margin-top:54.35pt;width:477.75pt;height:583.7pt;z-index:14;mso-wrap-style:none;mso-position-horizontal-relative:page;mso-position-vertical-relative:page" stroked="f">
            <v:textbox style="mso-next-textbox:#_x0000_s20800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2"/>
                    <w:gridCol w:w="1105"/>
                    <w:gridCol w:w="1470"/>
                  </w:tblGrid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 סעיף 111א לחוק העיקרי - בטל.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111א</w:t>
                        </w: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131 לחוק העיקרי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131א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131א. לאחר תחילת המשפט ובכל שלב של הדיון, רשאי בית המשפט -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הנאשם מיוצג על ידי סניגור - לזמן את הנאשם וסניגורו ואת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כדי לברר הסכמתם לשאלות שבעובדה ולקבילות מסמכים ומו-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צגים, לרבות הגשתם שלא באמצעות עדים."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"הסכמה בדבר</w:t>
                        </w:r>
                      </w:p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עובדות וראיות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164 לחוק העיקרי, אחרי "בתאריך הקריאה" יבוא "בית המשפט רשאי -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לקרוא את הכרעת הדין - למסור לנאשם העתק ממנה ולהסביר בפומבי את</w:t>
                        </w:r>
                      </w:p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עיקרי תכנה".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170 לחוק העיקרי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170</w:t>
                        </w:r>
                      </w:p>
                    </w:tc>
                  </w:tr>
                  <w:tr w:rsidR="000D2D4F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0D2D4F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170. (א) מותר לקבל כראיה לענין סעיף 169, בנוסף לכל דרך אחרת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הוכחה כדין, העתק מהמרשם הפלילי המתנהל בידי המשטרה על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בית המשפט בפלילים הנוגעות לנאשם, למעט זיכוי -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כשהדיון מתנהל בפני הנאשם - אם העתק המרשם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הוגש לבית המשפט והנאשם לא הכחיש את תכנו ;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כשהדיון מתנהל שלא בפני הנאשם - אם העתק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המרשם הפלילי הומצא לו מטעם התובע, והנאשם לא הודיע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המשפט, בכתב, תוך שבעה ימים מיום שהגיע ההעתק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לידיו, שהוא מכחיש את תכנו.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בעבירות מהמנויות בתוספת הראשונה, מותר לקבל כראיה,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האמורים בסעיף קטן (א), גם העתק מרשימה המתנהלת בידי</w:t>
                        </w:r>
                      </w:p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משרדו של השר הממונה על ביצוע החוק הקובע את העבירה."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''דרכי הוכחה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198 לחוק העיקרי, אחרי ''תאריך קריאתו" יבוא "בית המשפט רשאי,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לקרוא את הכרעת הדין, למסור לנאשם העתק ממנה ולהסביר בפומבי את עיקרי</w:t>
                        </w:r>
                      </w:p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תכנה".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198</w:t>
                        </w: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D2D4F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האמור בסעיף 202 לחוק העיקרי יסומן (א) ואחריו יבוא: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היועץ המשפטי לממשלה רשאי לאצול למשנהו - דרך כלל, לסוגי</w:t>
                        </w:r>
                      </w:p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או לענין מסויים - את סמכותו לעכב הליכי המשפט כאמור</w:t>
                        </w:r>
                      </w:p>
                      <w:p w:rsidR="000D2D4F" w:rsidRPr="003C25FC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באישום בעבירה שאינה פשע."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202</w:t>
                        </w:r>
                      </w:p>
                    </w:tc>
                  </w:tr>
                  <w:tr w:rsidR="000D2D4F" w:rsidRPr="003C25FC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לחוק העיקרי תסומן "תוספת שניה" ולפניה יבוא:</w:t>
                        </w:r>
                      </w:p>
                    </w:tc>
                    <w:tc>
                      <w:tcPr>
                        <w:tcW w:w="636" w:type="pct"/>
                      </w:tcPr>
                      <w:p w:rsidR="000D2D4F" w:rsidRDefault="000D2D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D2D4F" w:rsidRPr="003C25FC" w:rsidRDefault="000D2D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0D2D4F" w:rsidRDefault="000D2D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D2D4F" w:rsidRDefault="000D2D4F">
      <w:pPr>
        <w:rPr>
          <w:rtl/>
        </w:rPr>
      </w:pPr>
      <w:r>
        <w:rPr>
          <w:rtl/>
        </w:rPr>
        <w:br w:type="page"/>
      </w:r>
    </w:p>
    <w:p w:rsidR="000D2D4F" w:rsidRDefault="00000000">
      <w:pPr>
        <w:rPr>
          <w:rtl/>
        </w:rPr>
      </w:pPr>
      <w:r>
        <w:pict>
          <v:shape id="_x0000_s20801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0801" inset="0,0,0,0">
              <w:txbxContent>
                <w:p w:rsidR="000D2D4F" w:rsidRDefault="000D2D4F">
                  <w:r>
                    <w:rPr>
                      <w:rtl/>
                    </w:rPr>
                    <w:t>197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2" o:spid="_x0000_s1042" type="#_x0000_t202" style="position:absolute;left:0;text-align:left;margin-left:364.9pt;margin-top:300.1pt;width:184.95pt;height:52.45pt;z-index:21;mso-wrap-style:none;mso-position-horizontal-relative:page;mso-position-vertical-relative:page" stroked="f">
            <v:textbox style="mso-next-textbox:#_x0000_s20802" inset="0,0,0,0">
              <w:txbxContent>
                <w:p w:rsidR="000D2D4F" w:rsidRDefault="000D2D4F">
                  <w:pPr>
                    <w:pStyle w:val="OCRStyle6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8 ס"ח התשי"ח, עמ' 24.</w:t>
                  </w:r>
                </w:p>
                <w:p w:rsidR="000D2D4F" w:rsidRDefault="000D2D4F">
                  <w:pPr>
                    <w:pStyle w:val="OCRStyle6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1935, תוס' 1, עמ' 53; ס"ח התשל"ט, עמ' .50</w:t>
                  </w:r>
                </w:p>
                <w:p w:rsidR="000D2D4F" w:rsidRPr="000D2D4F" w:rsidRDefault="000D2D4F">
                  <w:pPr>
                    <w:pStyle w:val="OCRStyle6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התשי"ג,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3" o:spid="_x0000_s1043" type="#_x0000_t202" style="position:absolute;left:0;text-align:left;margin-left:184.1pt;margin-top:228.65pt;width:77.4pt;height:30.9pt;z-index:20;mso-wrap-style:none;mso-position-horizontal-relative:page;mso-position-vertical-relative:page" stroked="f">
            <v:textbox style="mso-next-textbox:#_x0000_s20803" inset="0,0,0,0">
              <w:txbxContent>
                <w:p w:rsidR="000D2D4F" w:rsidRDefault="000D2D4F">
                  <w:pPr>
                    <w:pStyle w:val="OCRStyle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D2D4F" w:rsidRDefault="000D2D4F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4" o:spid="_x0000_s1044" type="#_x0000_t202" style="position:absolute;left:0;text-align:left;margin-left:308.85pt;margin-top:226.05pt;width:85.15pt;height:35.25pt;z-index:19;mso-wrap-style:none;mso-position-horizontal-relative:page;mso-position-vertical-relative:page" stroked="f">
            <v:textbox style="mso-next-textbox:#_x0000_s20804" inset="0,0,0,0">
              <w:txbxContent>
                <w:p w:rsidR="000D2D4F" w:rsidRDefault="000D2D4F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D2D4F" w:rsidRDefault="000D2D4F">
                  <w:pPr>
                    <w:pStyle w:val="OCRStyle6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5" o:spid="_x0000_s1045" type="#_x0000_t202" style="position:absolute;left:0;text-align:left;margin-left:440.55pt;margin-top:255.35pt;width:80.2pt;height:36.05pt;z-index:18;mso-wrap-style:none;mso-position-horizontal-relative:page;mso-position-vertical-relative:page" stroked="f">
            <v:textbox style="mso-next-textbox:#_x0000_s20805" inset="0,0,0,0">
              <w:txbxContent>
                <w:p w:rsidR="000D2D4F" w:rsidRDefault="000D2D4F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D2D4F" w:rsidRDefault="000D2D4F">
                  <w:pPr>
                    <w:pStyle w:val="OCRStyle6"/>
                    <w:ind w:left="14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6" o:spid="_x0000_s1046" type="#_x0000_t202" style="position:absolute;left:0;text-align:left;margin-left:148.7pt;margin-top:52pt;width:399.55pt;height:168.9pt;z-index:17;mso-wrap-style:none;mso-position-horizontal-relative:page;mso-position-vertical-relative:page" stroked="f">
            <v:textbox style="mso-next-textbox:#_x0000_s20806" inset="0,0,0,0">
              <w:txbxContent>
                <w:p w:rsidR="000D2D4F" w:rsidRDefault="000D2D4F">
                  <w:pPr>
                    <w:pStyle w:val="OCRStyle6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"תוספת ראשונה</w:t>
                  </w:r>
                </w:p>
                <w:p w:rsidR="000D2D4F" w:rsidRDefault="000D2D4F">
                  <w:pPr>
                    <w:pStyle w:val="OCRStyle6"/>
                    <w:ind w:left="2624"/>
                    <w:rPr>
                      <w:rtl/>
                    </w:rPr>
                  </w:pPr>
                  <w:r>
                    <w:rPr>
                      <w:rtl/>
                    </w:rPr>
                    <w:t>(סעיפים 3(ב) ו-170(ב))</w:t>
                  </w:r>
                </w:p>
                <w:p w:rsidR="000D2D4F" w:rsidRDefault="000D2D4F">
                  <w:pPr>
                    <w:pStyle w:val="OCRStyle6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(1) עבירות לפי חוק הפיקוח על מצרכים ושירותים, התשי"ח-81957,</w:t>
                  </w:r>
                </w:p>
                <w:p w:rsidR="000D2D4F" w:rsidRDefault="000D2D4F">
                  <w:pPr>
                    <w:pStyle w:val="OCRStyle6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שנעברו במצרכי מזון;</w:t>
                  </w:r>
                </w:p>
                <w:p w:rsidR="000D2D4F" w:rsidRDefault="000D2D4F">
                  <w:pPr>
                    <w:pStyle w:val="OCRStyle6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(2) עבירות לפי פקודת בריאות הציבור (מזון), 1935 9;</w:t>
                  </w:r>
                </w:p>
                <w:p w:rsidR="000D2D4F" w:rsidRDefault="000D2D4F">
                  <w:pPr>
                    <w:pStyle w:val="OCRStyle6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(3) עבירות לפי חוק התקנים, התשי"ג-1953 10, שנעברו במצרכי מזון."</w:t>
                  </w:r>
                </w:p>
                <w:p w:rsidR="000D2D4F" w:rsidRDefault="000D2D4F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 בכל מקום בחוק העיקרי או בחיקוק אחר המאזכר את התוספת, יבוא</w:t>
                  </w:r>
                </w:p>
                <w:p w:rsidR="000D2D4F" w:rsidRDefault="000D2D4F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"התוספת השניה".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43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516934-8039-4EBB-82C5-678D784E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434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860B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A142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76C6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C25F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D2D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2008-04-07T00:41:00Z</dcterms:created>
  <dcterms:modified xsi:type="dcterms:W3CDTF">2008-04-07T00:41:00Z</dcterms:modified>
</cp:coreProperties>
</file>