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0AAC" w:rsidRDefault="00580AAC">
      <w:pPr>
        <w:rPr>
          <w:rtl/>
        </w:rPr>
      </w:pPr>
    </w:p>
    <w:p w:rsidR="00580AA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81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0817" inset="0,0,0,0">
              <w:txbxContent>
                <w:p w:rsidR="00580AAC" w:rsidRDefault="00580AAC">
                  <w:r>
                    <w:rPr>
                      <w:rtl/>
                    </w:rPr>
                    <w:t>138                                          ספר החוקים 973                  כ"ט בסיוון התש"מ 13.06.1980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18" o:spid="_x0000_s1026" type="#_x0000_t202" style="position:absolute;left:0;text-align:left;margin-left:86.85pt;margin-top:703pt;width:185.9pt;height:40.6pt;z-index:7;mso-position-horizontal-relative:page;mso-position-vertical-relative:page" stroked="f">
            <v:textbox style="mso-next-textbox:#_x0000_s20818" inset="0,0,0,0">
              <w:txbxContent>
                <w:p w:rsidR="00580AAC" w:rsidRPr="00580AAC" w:rsidRDefault="00580AAC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973, כ"ט בסיון תש''ם, 13.6.1960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19" o:spid="_x0000_s1027" type="#_x0000_t202" style="position:absolute;left:0;text-align:left;margin-left:96.35pt;margin-top:519.7pt;width:391.65pt;height:74.05pt;z-index:6;mso-position-horizontal-relative:page;mso-position-vertical-relative:page" stroked="f">
            <v:textbox style="mso-next-textbox:#_x0000_s20819" inset="0,0,0,0">
              <w:txbxContent>
                <w:p w:rsidR="00580AAC" w:rsidRDefault="00580AAC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ייט בסיון תש"ם (3 ביוני 1980); הצעת החוק ודברי הסבר פורסמו בה*ח 1314, תשל"ח,</w:t>
                  </w:r>
                </w:p>
                <w:p w:rsidR="00580AAC" w:rsidRDefault="00580AAC">
                  <w:pPr>
                    <w:pStyle w:val="OCRStyle1"/>
                    <w:ind w:left="5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43.</w:t>
                  </w:r>
                </w:p>
                <w:p w:rsidR="00580AAC" w:rsidRDefault="00580AAC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תשכיח, עמי 161; תשכיט, עמ' 194; תשל"ג, עמ' 224; תשל"ד, עמ' 86; השליה, עמי 6, עמי 76, עמי 130,</w:t>
                  </w:r>
                </w:p>
                <w:p w:rsidR="00580AAC" w:rsidRPr="00580AAC" w:rsidRDefault="00580AAC">
                  <w:pPr>
                    <w:pStyle w:val="OCRStyle1"/>
                    <w:ind w:left="5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218; השליו, עמ' 244; השליז, עמי 313; השליח, עמ' 162; השים, עמי .61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20" o:spid="_x0000_s1028" type="#_x0000_t202" style="position:absolute;left:0;text-align:left;margin-left:123.9pt;margin-top:411.15pt;width:98.2pt;height:38pt;z-index:5;mso-position-horizontal-relative:page;mso-position-vertical-relative:page" stroked="f">
            <v:textbox style="mso-next-textbox:#_x0000_s20820" inset="0,0,0,0">
              <w:txbxContent>
                <w:p w:rsidR="00580AAC" w:rsidRDefault="00580AAC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580AAC" w:rsidRDefault="00580AAC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21" o:spid="_x0000_s1029" type="#_x0000_t202" style="position:absolute;left:0;text-align:left;margin-left:246.05pt;margin-top:412.95pt;width:96.45pt;height:37.8pt;z-index:4;mso-position-horizontal-relative:page;mso-position-vertical-relative:page" stroked="f">
            <v:textbox style="mso-next-textbox:#_x0000_s20821" inset="0,0,0,0">
              <w:txbxContent>
                <w:p w:rsidR="00580AAC" w:rsidRDefault="00580AAC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80AAC" w:rsidRDefault="00580AAC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22" o:spid="_x0000_s1030" type="#_x0000_t202" style="position:absolute;left:0;text-align:left;margin-left:398.5pt;margin-top:441.45pt;width:93.85pt;height:39.6pt;z-index:3;mso-position-horizontal-relative:page;mso-position-vertical-relative:page" stroked="f">
            <v:textbox style="mso-next-textbox:#_x0000_s20822" inset="0,0,0,0">
              <w:txbxContent>
                <w:p w:rsidR="00580AAC" w:rsidRDefault="00580AAC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580AAC" w:rsidRDefault="00580AAC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23" o:spid="_x0000_s1031" type="#_x0000_t202" style="position:absolute;left:0;text-align:left;margin-left:97.15pt;margin-top:98.75pt;width:461.55pt;height:296.2pt;z-index:2;mso-position-horizontal-relative:page;mso-position-vertical-relative:page" stroked="f">
            <v:textbox style="mso-next-textbox:#_x0000_s2082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5"/>
                    <w:gridCol w:w="1147"/>
                    <w:gridCol w:w="1283"/>
                  </w:tblGrid>
                  <w:tr w:rsidR="00580AAC" w:rsidRPr="00580AAC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580AAC" w:rsidRDefault="00580AA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35א לחוק סדר הדין הפלילי, תשכ"ה-1965* (להלן - החוק העיקרי), המלים</w:t>
                        </w:r>
                      </w:p>
                      <w:p w:rsidR="00580AAC" w:rsidRDefault="00580A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"כמשמעותו כסעיף 10 (א) (0 (א)" - יימחקו, וכסוף הסעיף יבוא "לענין זה לא יבואו</w:t>
                        </w:r>
                      </w:p>
                      <w:p w:rsidR="00580AAC" w:rsidRPr="00580AAC" w:rsidRDefault="00580A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שבתות ומועדים במנין השעות".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580AAC" w:rsidRPr="00580AAC" w:rsidRDefault="00580A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תקיון סעיף 35א</w:t>
                        </w:r>
                      </w:p>
                    </w:tc>
                  </w:tr>
                  <w:tr w:rsidR="00580AAC" w:rsidRPr="00580AAC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580AAC" w:rsidRPr="00580AAC" w:rsidRDefault="00580A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139 לחוק העיקרי יבוא:</w:t>
                        </w:r>
                      </w:p>
                    </w:tc>
                    <w:tc>
                      <w:tcPr>
                        <w:tcW w:w="764" w:type="pct"/>
                      </w:tcPr>
                      <w:p w:rsidR="00580AAC" w:rsidRPr="00580AAC" w:rsidRDefault="00580A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החלפה סעיף 139</w:t>
                        </w:r>
                      </w:p>
                    </w:tc>
                  </w:tr>
                  <w:tr w:rsidR="00580AAC">
                    <w:trPr>
                      <w:jc w:val="right"/>
                    </w:trPr>
                    <w:tc>
                      <w:tcPr>
                        <w:tcW w:w="3553" w:type="pct"/>
                      </w:tcPr>
                      <w:p w:rsidR="00580AAC" w:rsidRDefault="00580A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139. (א) נאשמו כמה נאשמים בכתב אישום אחד ומהם הודו בעובדות</w:t>
                        </w:r>
                      </w:p>
                      <w:p w:rsidR="00580AAC" w:rsidRDefault="00580A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בהן כדי הרשעתם ומהם שלא הודו בכך, לא יגזור בית המשפט את</w:t>
                        </w:r>
                      </w:p>
                      <w:p w:rsidR="00580AAC" w:rsidRDefault="00580A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דינם של הנאשמים שהודו לפני שנסתיים בירור המשפט של הנאשמים</w:t>
                        </w:r>
                      </w:p>
                      <w:p w:rsidR="00580AAC" w:rsidRDefault="00580A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הודו; ואולם -</w:t>
                        </w:r>
                      </w:p>
                      <w:p w:rsidR="00580AAC" w:rsidRDefault="00580A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נאשם שהודה כך, והתובע או הסניגור מודיעים שהוא</w:t>
                        </w:r>
                      </w:p>
                      <w:p w:rsidR="00580AAC" w:rsidRDefault="00580A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להעיד במשפטם של יתר הנאשמים, לא יעיד אלא</w:t>
                        </w:r>
                      </w:p>
                      <w:p w:rsidR="00580AAC" w:rsidRDefault="00580A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שנגזר דינו;</w:t>
                        </w:r>
                      </w:p>
                      <w:p w:rsidR="00580AAC" w:rsidRDefault="00580A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בנסיבות מיוחדות שירשום בית המשפט רשאי הוא</w:t>
                        </w:r>
                      </w:p>
                      <w:p w:rsidR="00580AAC" w:rsidRDefault="00580A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לגזור את דינו של הנאשם שהודה לפני סיום משפטם של</w:t>
                        </w:r>
                      </w:p>
                      <w:p w:rsidR="00580AAC" w:rsidRDefault="00580A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האחרים.</w:t>
                        </w:r>
                      </w:p>
                      <w:p w:rsidR="00580AAC" w:rsidRDefault="00580A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גזירת דין - לרבות מתן צו מבחן ללא</w:t>
                        </w:r>
                      </w:p>
                      <w:p w:rsidR="00580AAC" w:rsidRPr="00580AAC" w:rsidRDefault="00580A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הרשעה או צו שירות לתועלת הציבור ללא הרשעה."</w:t>
                        </w:r>
                      </w:p>
                    </w:tc>
                    <w:tc>
                      <w:tcPr>
                        <w:tcW w:w="683" w:type="pct"/>
                      </w:tcPr>
                      <w:p w:rsidR="00580AAC" w:rsidRDefault="00580A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יפסק דין של</w:t>
                        </w:r>
                      </w:p>
                      <w:p w:rsidR="00580AAC" w:rsidRPr="00580AAC" w:rsidRDefault="00580A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נאשם שהודה</w:t>
                        </w:r>
                      </w:p>
                    </w:tc>
                    <w:tc>
                      <w:tcPr>
                        <w:tcW w:w="764" w:type="pct"/>
                      </w:tcPr>
                      <w:p w:rsidR="00580AAC" w:rsidRDefault="00580AA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80AAC" w:rsidRDefault="00580A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824" o:spid="_x0000_s1032" type="#_x0000_t202" style="position:absolute;left:0;text-align:left;margin-left:139.3pt;margin-top:71.2pt;width:313.45pt;height:22.35pt;z-index:1;mso-position-horizontal-relative:page;mso-position-vertical-relative:page" stroked="f">
            <v:textbox style="mso-next-textbox:#_x0000_s20824" inset="0,0,0,0">
              <w:txbxContent>
                <w:p w:rsidR="00580AAC" w:rsidRPr="00580AAC" w:rsidRDefault="00580AAC">
                  <w:pPr>
                    <w:pStyle w:val="OCRStyle1"/>
                    <w:ind w:left="28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סדר הדין הפלילי (תיקון מס' 12), תש"ם-1980*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80AA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72E53E-2A7C-4E7E-A3A0-7E048387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0AA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2008-04-07T00:15:00Z</dcterms:created>
  <dcterms:modified xsi:type="dcterms:W3CDTF">2008-04-07T00:15:00Z</dcterms:modified>
</cp:coreProperties>
</file>