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3BB4" w:rsidRDefault="00883BB4">
      <w:pPr>
        <w:rPr>
          <w:rtl/>
        </w:rPr>
      </w:pPr>
    </w:p>
    <w:p w:rsidR="00883BB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82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825" inset="0,0,0,0">
              <w:txbxContent>
                <w:p w:rsidR="006406A9" w:rsidRDefault="006406A9">
                  <w:r>
                    <w:rPr>
                      <w:rtl/>
                    </w:rPr>
                    <w:t>313                                          ספר החוקים 867                    כ"ח באב התשל"ז 12.08.1977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26" o:spid="_x0000_s1026" type="#_x0000_t202" style="position:absolute;left:0;text-align:left;margin-left:151.5pt;margin-top:637.1pt;width:391.85pt;height:101.95pt;z-index:3;mso-position-horizontal-relative:page;mso-position-vertical-relative:page" stroked="f">
            <v:textbox style="mso-next-textbox:#_x0000_s20826" inset="0,0,0,0">
              <w:txbxContent>
                <w:p w:rsidR="006406A9" w:rsidRDefault="006406A9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באב תשל"ז (,3 באוגוסט 1977); הצעת החוק ודברי הסבר פורסמו בהצעות חוק</w:t>
                  </w:r>
                </w:p>
                <w:p w:rsidR="006406A9" w:rsidRDefault="006406A9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1291, תשל''ז, עמ' 188.</w:t>
                  </w:r>
                </w:p>
                <w:p w:rsidR="006406A9" w:rsidRDefault="006406A9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תשכ"ה, עמ' 161; תשכ"ט, עמ' 194; תשל"ג, עמי 224; תשל"ד, עמ' 86; תשל"ה, עמ' 6, עמ' 76, עמי ,130</w:t>
                  </w:r>
                </w:p>
                <w:p w:rsidR="006406A9" w:rsidRDefault="006406A9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218; תשל"ו, עמ .244</w:t>
                  </w:r>
                </w:p>
                <w:p w:rsidR="006406A9" w:rsidRDefault="006406A9">
                  <w:pPr>
                    <w:pStyle w:val="OCRStyle1"/>
                    <w:ind w:left="1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תשכ"ג, עמ 130.</w:t>
                  </w:r>
                </w:p>
                <w:p w:rsidR="006406A9" w:rsidRPr="00883BB4" w:rsidRDefault="006406A9">
                  <w:pPr>
                    <w:pStyle w:val="OCRStyle1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חדש 27, עמ' .256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27" o:spid="_x0000_s1027" type="#_x0000_t202" style="position:absolute;left:0;text-align:left;margin-left:86.75pt;margin-top:423.45pt;width:457.4pt;height:202.15pt;z-index:2;mso-position-horizontal-relative:page;mso-position-vertical-relative:page" stroked="f">
            <v:textbox style="mso-next-textbox:#_x0000_s2082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1"/>
                    <w:gridCol w:w="7094"/>
                  </w:tblGrid>
                  <w:tr w:rsidR="006406A9" w:rsidRPr="00883BB4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6406A9" w:rsidRPr="00883BB4" w:rsidRDefault="006406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31א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6406A9" w:rsidRDefault="006406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סדר הדין פלילי, תשכ"ה-1965 (להלן - החוק העיקרי)1, בסעיף 31א -</w:t>
                        </w:r>
                      </w:p>
                      <w:p w:rsidR="006406A9" w:rsidRDefault="006406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המלים "בעבירות זנותי' - יימחקו;</w:t>
                        </w:r>
                      </w:p>
                      <w:p w:rsidR="006406A9" w:rsidRDefault="006406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"בקשר למעשה זנות של אשה" יבוא "לפי סעיפים 11 או 12 לחוק</w:t>
                        </w:r>
                      </w:p>
                      <w:p w:rsidR="006406A9" w:rsidRDefault="006406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דיני העונשין (עבירות מרמה, סחיטה ועושק), תשכ"ג-1963 2, או</w:t>
                        </w:r>
                      </w:p>
                      <w:p w:rsidR="006406A9" w:rsidRDefault="006406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הסמים המסוכנים [נוסח חדש], תשל"ג-1973 8, למעט עבירה</w:t>
                        </w:r>
                      </w:p>
                      <w:p w:rsidR="006406A9" w:rsidRDefault="006406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הקשורה רק בשימוש עצמי בסמים";</w:t>
                        </w:r>
                      </w:p>
                      <w:p w:rsidR="006406A9" w:rsidRDefault="006406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"עדותה של אותה אשה בין במשפט ובין לפי סעיף 111א" יבוא</w:t>
                        </w:r>
                      </w:p>
                      <w:p w:rsidR="006406A9" w:rsidRDefault="006406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"בין במשפט ובין לפי סעיף 111א, עדותה של אותה אשה ועדותו של עד</w:t>
                        </w:r>
                      </w:p>
                      <w:p w:rsidR="006406A9" w:rsidRPr="00883BB4" w:rsidRDefault="006406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שבית המשפט סבר שיש מקום לגבות עדותו לאלתר".</w:t>
                        </w:r>
                      </w:p>
                    </w:tc>
                  </w:tr>
                  <w:tr w:rsidR="006406A9" w:rsidRPr="00883BB4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6406A9" w:rsidRPr="00883BB4" w:rsidRDefault="006406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111א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6406A9" w:rsidRDefault="006406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111א לחוק העיקרי -</w:t>
                        </w:r>
                      </w:p>
                      <w:p w:rsidR="006406A9" w:rsidRPr="00883BB4" w:rsidRDefault="006406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"בעבירות זנות" יבוא "בעבירות מסויימות";</w:t>
                        </w:r>
                      </w:p>
                    </w:tc>
                  </w:tr>
                </w:tbl>
                <w:p w:rsidR="006406A9" w:rsidRDefault="006406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828" o:spid="_x0000_s1028" type="#_x0000_t202" style="position:absolute;left:0;text-align:left;margin-left:188.75pt;margin-top:395.15pt;width:310.65pt;height:24.95pt;z-index:1;mso-position-horizontal-relative:page;mso-position-vertical-relative:page" stroked="f">
            <v:textbox style="mso-next-textbox:#_x0000_s20828" inset="0,0,0,0">
              <w:txbxContent>
                <w:p w:rsidR="006406A9" w:rsidRPr="00883BB4" w:rsidRDefault="006406A9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סדר הדין הפלילי (תיקון מס' 9), תשל"ז-1977 ?</w:t>
                  </w:r>
                </w:p>
              </w:txbxContent>
            </v:textbox>
            <w10:wrap anchorx="page" anchory="page"/>
          </v:shape>
        </w:pict>
      </w:r>
    </w:p>
    <w:p w:rsidR="006406A9" w:rsidRDefault="006406A9">
      <w:pPr>
        <w:rPr>
          <w:rtl/>
        </w:rPr>
      </w:pPr>
      <w:r>
        <w:rPr>
          <w:rtl/>
        </w:rPr>
        <w:br w:type="page"/>
      </w:r>
    </w:p>
    <w:p w:rsidR="006406A9" w:rsidRDefault="00000000">
      <w:pPr>
        <w:rPr>
          <w:rtl/>
        </w:rPr>
      </w:pPr>
      <w:r>
        <w:pict>
          <v:shape id="_x0000_s20829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0829" inset="0,0,0,0">
              <w:txbxContent>
                <w:p w:rsidR="006406A9" w:rsidRDefault="006406A9">
                  <w:r>
                    <w:rPr>
                      <w:rtl/>
                    </w:rPr>
                    <w:t>314                                          ספר החוקים 867                    כ"ח באב התשל"ז 12.08.1977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30" o:spid="_x0000_s1030" type="#_x0000_t202" style="position:absolute;left:0;text-align:left;margin-left:102.85pt;margin-top:329.95pt;width:95.25pt;height:34.85pt;z-index:8;mso-position-horizontal-relative:page;mso-position-vertical-relative:page" stroked="f">
            <v:textbox style="mso-next-textbox:#_x0000_s20830" inset="0,0,0,0">
              <w:txbxContent>
                <w:p w:rsidR="006406A9" w:rsidRDefault="006406A9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406A9" w:rsidRDefault="006406A9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31" o:spid="_x0000_s1031" type="#_x0000_t202" style="position:absolute;left:0;text-align:left;margin-left:243.65pt;margin-top:328.15pt;width:99.4pt;height:39.8pt;z-index:7;mso-position-horizontal-relative:page;mso-position-vertical-relative:page" stroked="f">
            <v:textbox style="mso-next-textbox:#_x0000_s20831" inset="0,0,0,0">
              <w:txbxContent>
                <w:p w:rsidR="006406A9" w:rsidRDefault="006406A9">
                  <w:pPr>
                    <w:pStyle w:val="OCRStyle2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406A9" w:rsidRDefault="006406A9">
                  <w:pPr>
                    <w:pStyle w:val="OCRStyle2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32" o:spid="_x0000_s1032" type="#_x0000_t202" style="position:absolute;left:0;text-align:left;margin-left:373.7pt;margin-top:350.5pt;width:109.3pt;height:46.55pt;z-index:6;mso-position-horizontal-relative:page;mso-position-vertical-relative:page" stroked="f">
            <v:textbox style="mso-next-textbox:#_x0000_s20832" inset="0,0,0,0">
              <w:txbxContent>
                <w:p w:rsidR="006406A9" w:rsidRDefault="006406A9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406A9" w:rsidRDefault="006406A9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33" o:spid="_x0000_s1033" type="#_x0000_t202" style="position:absolute;left:0;text-align:left;margin-left:88.8pt;margin-top:71.35pt;width:354.6pt;height:245.3pt;z-index:5;mso-position-horizontal-relative:page;mso-position-vertical-relative:page" stroked="f">
            <v:textbox style="mso-next-textbox:#_x0000_s20833" inset="0,0,0,0">
              <w:txbxContent>
                <w:p w:rsidR="006406A9" w:rsidRDefault="006406A9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(2) בסעיף קטן (א), בסופו יבוא "וכן רשאי  בית המשפט לגבות לאלתר</w:t>
                  </w:r>
                </w:p>
                <w:p w:rsidR="006406A9" w:rsidRDefault="006406A9">
                  <w:pPr>
                    <w:pStyle w:val="OCRStyle2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עדותו של עד אחר בעבירה כזאת, בעבירה לפי סעיפים 11 או 12 לחוק</w:t>
                  </w:r>
                </w:p>
                <w:p w:rsidR="006406A9" w:rsidRDefault="006406A9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לתיקון דיני העונשין (עבירות מרמה, סחיטה ועושק), תשכ"ג-1963, או לפי</w:t>
                  </w:r>
                </w:p>
                <w:p w:rsidR="006406A9" w:rsidRDefault="006406A9">
                  <w:pPr>
                    <w:pStyle w:val="OCRStyle2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פקודת הסמים המסוכנים [נוסח חדש], תשל"ג-1973, למעט עבירה הקשורה</w:t>
                  </w:r>
                </w:p>
                <w:p w:rsidR="006406A9" w:rsidRDefault="006406A9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רק בשימוש עצמי בסמים, ובעבירה שנעברה לשם ביצועה או אגב ביצועה</w:t>
                  </w:r>
                </w:p>
                <w:p w:rsidR="006406A9" w:rsidRDefault="006406A9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של אחת מעבירות אלה";</w:t>
                  </w:r>
                </w:p>
                <w:p w:rsidR="006406A9" w:rsidRDefault="006406A9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(3) בסעיף קטן (ב), במקום "מי שעשוי להיות נאשם" יבוא "מי שעלול</w:t>
                  </w:r>
                </w:p>
                <w:p w:rsidR="006406A9" w:rsidRDefault="006406A9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להיות נאשם", ובסופו יבוא "לפני גביית העדות יסביר בית המשפט לנאשם</w:t>
                  </w:r>
                </w:p>
                <w:p w:rsidR="006406A9" w:rsidRDefault="006406A9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או למי שעלול להיות נאשם את זכותו למנות לעצמו סניגור ויתן לו הזדמנות</w:t>
                  </w:r>
                </w:p>
                <w:p w:rsidR="006406A9" w:rsidRDefault="006406A9">
                  <w:pPr>
                    <w:pStyle w:val="OCRStyle2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סבירה לעשות כן; סעיף 13 יחול על גביית עדות לפי סעיף זה, אולם אם</w:t>
                  </w:r>
                </w:p>
                <w:p w:rsidR="006406A9" w:rsidRDefault="006406A9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הנאשם או מי שעלול להיות נאשם הוא מחוסר אמצעים ואין לו סניגור,</w:t>
                  </w:r>
                </w:p>
                <w:p w:rsidR="006406A9" w:rsidRDefault="006406A9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ימנה לו בית המשפט לבקשתו סניגור";</w:t>
                  </w:r>
                </w:p>
                <w:p w:rsidR="006406A9" w:rsidRDefault="006406A9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(4) בסעיף קטן (ג), בכל מקום, במקום "העדה" יבוא "העד", ובמקום</w:t>
                  </w:r>
                </w:p>
                <w:p w:rsidR="006406A9" w:rsidRDefault="006406A9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"בהזמנתה" יבוא "בהזמנתו", ואחרי פסקה (1) יבוא:</w:t>
                  </w:r>
                </w:p>
                <w:p w:rsidR="006406A9" w:rsidRDefault="006406A9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"(1א) לא ניתנה לנאשם הזדמנות סבירה למנות לעצמו סניגור כדי</w:t>
                  </w:r>
                </w:p>
                <w:p w:rsidR="006406A9" w:rsidRDefault="006406A9">
                  <w:pPr>
                    <w:pStyle w:val="OCRStyle2"/>
                    <w:ind w:left="878"/>
                  </w:pPr>
                  <w:r>
                    <w:rPr>
                      <w:rtl/>
                    </w:rPr>
                    <w:t>שיהיה נוכח בעת גביית העדות ויחקור את העד ;".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83BB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B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3B5A16-1CBE-40B6-BBE3-58F2E018E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83BB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406A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2008-04-06T23:24:00Z</dcterms:created>
  <dcterms:modified xsi:type="dcterms:W3CDTF">2008-04-06T23:24:00Z</dcterms:modified>
</cp:coreProperties>
</file>