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1957" w:rsidRDefault="00921957">
      <w:pPr>
        <w:rPr>
          <w:rtl/>
        </w:rPr>
      </w:pPr>
    </w:p>
    <w:p w:rsidR="0092195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88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0880" inset="0,0,0,0">
              <w:txbxContent>
                <w:p w:rsidR="00921957" w:rsidRDefault="00921957">
                  <w:r>
                    <w:rPr>
                      <w:rtl/>
                    </w:rPr>
                    <w:t>86                                           ספר החוקים 735                   ו' בתמוז התשל"ד 26.06.1974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81" o:spid="_x0000_s1026" type="#_x0000_t202" style="position:absolute;left:0;text-align:left;margin-left:74.65pt;margin-top:707.6pt;width:167.9pt;height:37.05pt;z-index:7;mso-position-horizontal-relative:page;mso-position-vertical-relative:page" stroked="f">
            <v:textbox style="mso-next-textbox:#_x0000_s20881" inset="0,0,0,0">
              <w:txbxContent>
                <w:p w:rsidR="00921957" w:rsidRDefault="0092195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882" o:spid="_x0000_s1027" type="#_x0000_t202" style="position:absolute;left:0;text-align:left;margin-left:70.3pt;margin-top:643.85pt;width:387.5pt;height:56.05pt;z-index:6;mso-position-horizontal-relative:page;mso-position-vertical-relative:page" stroked="f">
            <v:textbox style="mso-next-textbox:#_x0000_s20882" inset="0,0,0,0">
              <w:txbxContent>
                <w:p w:rsidR="00921957" w:rsidRDefault="00921957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בסיון תשל"ד (17 ביוני 1974); הצעת החוק ודברי הסבר פורסמו בה"ח  1058, תשל"ד,</w:t>
                  </w:r>
                </w:p>
                <w:p w:rsidR="00921957" w:rsidRDefault="00921957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273.</w:t>
                  </w:r>
                </w:p>
                <w:p w:rsidR="00921957" w:rsidRDefault="00921957">
                  <w:pPr>
                    <w:pStyle w:val="OCRStyle1"/>
                    <w:ind w:left="2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ג ס"ח תשכ"ה, עמ' 161; תשכ"ט, עמ' 194; תשל"ג, עמ' 224.</w:t>
                  </w:r>
                </w:p>
                <w:p w:rsidR="00921957" w:rsidRPr="00921957" w:rsidRDefault="00921957">
                  <w:pPr>
                    <w:pStyle w:val="OCRStyle1"/>
                    <w:ind w:left="2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תשכ"ב, עמ' 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83" o:spid="_x0000_s1028" type="#_x0000_t202" style="position:absolute;left:0;text-align:left;margin-left:102.2pt;margin-top:524.25pt;width:94.65pt;height:38.6pt;z-index:5;mso-position-horizontal-relative:page;mso-position-vertical-relative:page" stroked="f">
            <v:textbox style="mso-next-textbox:#_x0000_s20883" inset="0,0,0,0">
              <w:txbxContent>
                <w:p w:rsidR="00921957" w:rsidRDefault="00921957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921957" w:rsidRDefault="00921957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84" o:spid="_x0000_s1029" type="#_x0000_t202" style="position:absolute;left:0;text-align:left;margin-left:223.55pt;margin-top:519.9pt;width:89.5pt;height:49.1pt;z-index:4;mso-position-horizontal-relative:page;mso-position-vertical-relative:page" stroked="f">
            <v:textbox style="mso-next-textbox:#_x0000_s20884" inset="0,0,0,0">
              <w:txbxContent>
                <w:p w:rsidR="00921957" w:rsidRDefault="00921957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רבין'</w:t>
                  </w:r>
                </w:p>
                <w:p w:rsidR="00921957" w:rsidRDefault="00921957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85" o:spid="_x0000_s1030" type="#_x0000_t202" style="position:absolute;left:0;text-align:left;margin-left:377.6pt;margin-top:556.1pt;width:93.05pt;height:34.45pt;z-index:3;mso-position-horizontal-relative:page;mso-position-vertical-relative:page" stroked="f">
            <v:textbox style="mso-next-textbox:#_x0000_s20885" inset="0,0,0,0">
              <w:txbxContent>
                <w:p w:rsidR="00921957" w:rsidRDefault="00921957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21957" w:rsidRDefault="00921957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886" o:spid="_x0000_s1031" type="#_x0000_t202" style="position:absolute;left:0;text-align:left;margin-left:78.05pt;margin-top:104.85pt;width:464.9pt;height:408.1pt;z-index:2;mso-position-horizontal-relative:page;mso-position-vertical-relative:page" stroked="f">
            <v:textbox style="mso-next-textbox:#_x0000_s2088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1"/>
                    <w:gridCol w:w="1310"/>
                    <w:gridCol w:w="1411"/>
                  </w:tblGrid>
                  <w:tr w:rsidR="00921957" w:rsidRPr="00921957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921957" w:rsidRDefault="0092195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סדר הדין הפלילי, תשכ"ה-11965 (להלן - החוק העיקרי), אחרי סעיף 31</w:t>
                        </w:r>
                      </w:p>
                      <w:p w:rsidR="00921957" w:rsidRP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יבוא?</w:t>
                        </w:r>
                      </w:p>
                    </w:tc>
                    <w:tc>
                      <w:tcPr>
                        <w:tcW w:w="835" w:type="pct"/>
                      </w:tcPr>
                      <w:p w:rsidR="00921957" w:rsidRPr="00921957" w:rsidRDefault="009219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31</w:t>
                        </w:r>
                      </w:p>
                    </w:tc>
                  </w:tr>
                  <w:tr w:rsidR="00921957">
                    <w:trPr>
                      <w:jc w:val="right"/>
                    </w:trPr>
                    <w:tc>
                      <w:tcPr>
                        <w:tcW w:w="3390" w:type="pct"/>
                      </w:tcPr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31א. עצור על עבירה לפי סעיפים 1 עד 3 לחוק לתיקון דיני העונשין</w:t>
                        </w:r>
                      </w:p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(עבירות זנות), תשכ"ב-21962, בקשר למעשה זנות של אשה, לא</w:t>
                        </w:r>
                      </w:p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ישוחרר בערובה לפני שנגבתה עדותה של אותה אשה בין במשפט ובין</w:t>
                        </w:r>
                      </w:p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111א, אלא אם הסכים לכך התובע או שהשופט שוכנע, מני-</w:t>
                        </w:r>
                      </w:p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מוקים שיירשמו, כי השחרור לא יפריע לגביית העדות או שחלפו שבועיים</w:t>
                        </w:r>
                      </w:p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מעת המעצר."</w:t>
                        </w:r>
                      </w:p>
                    </w:tc>
                    <w:tc>
                      <w:tcPr>
                        <w:tcW w:w="775" w:type="pct"/>
                      </w:tcPr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לשחרור</w:t>
                        </w:r>
                      </w:p>
                      <w:p w:rsidR="00921957" w:rsidRPr="00921957" w:rsidRDefault="009219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בעבירות זנות</w:t>
                        </w:r>
                      </w:p>
                    </w:tc>
                    <w:tc>
                      <w:tcPr>
                        <w:tcW w:w="835" w:type="pct"/>
                      </w:tcPr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21957" w:rsidRPr="00921957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921957" w:rsidRP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110 לחוק העיקרי, במקום "שנגבתה לפי סימן זה" יבוא "כאמור בסעיף 106".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921957" w:rsidRPr="00921957" w:rsidRDefault="009219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110</w:t>
                        </w:r>
                      </w:p>
                    </w:tc>
                  </w:tr>
                  <w:tr w:rsidR="00921957" w:rsidRPr="00921957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921957" w:rsidRP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111 לחוק העיקרי יבוא:</w:t>
                        </w:r>
                      </w:p>
                    </w:tc>
                    <w:tc>
                      <w:tcPr>
                        <w:tcW w:w="835" w:type="pct"/>
                      </w:tcPr>
                      <w:p w:rsidR="00921957" w:rsidRPr="00921957" w:rsidRDefault="009219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111א</w:t>
                        </w:r>
                      </w:p>
                    </w:tc>
                  </w:tr>
                  <w:tr w:rsidR="00921957">
                    <w:trPr>
                      <w:jc w:val="right"/>
                    </w:trPr>
                    <w:tc>
                      <w:tcPr>
                        <w:tcW w:w="3390" w:type="pct"/>
                      </w:tcPr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111א. (א) בעבירה לפי חוק לתיקון דיני העונשין (עבירות זנות),</w:t>
                        </w:r>
                      </w:p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תשכ"ב-1962, בקשר למעשה זנות של אשה, רשאי בית משפט מחוזי,</w:t>
                        </w:r>
                      </w:p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 תובע, לגבות עדותה של אותה אשה לאלתר.</w:t>
                        </w:r>
                      </w:p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העדות תיגבה בפני הנאשם או מי שעשוי להיות נאשם, זולת</w:t>
                        </w:r>
                      </w:p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החליט בית המשפט לגבותה שלא בפניו מטעמים שיירשמו.</w:t>
                        </w:r>
                      </w:p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עדות שנגבתה לפי סעיף זה דינה כדין עדות שנגבתה במהלך</w:t>
                        </w:r>
                      </w:p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ובית המשפט לא ירשה להזמין את העדה לעדות נוספת אלא אם</w:t>
                        </w:r>
                      </w:p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שוכנע שיש בהזמנתה כדי להשפיע על תוצאות המשפט ושהדבר דרוש</w:t>
                        </w:r>
                      </w:p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אחת מאלה:</w:t>
                        </w:r>
                      </w:p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היתה לנאשם הזדמנות לחקור את העדה:</w:t>
                        </w:r>
                      </w:p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חקירת העדה היתה בפני שופט אחר;</w:t>
                        </w:r>
                      </w:p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במהלך המשפט נתגלו עובדות חדשות. ~</w:t>
                        </w:r>
                      </w:p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סעיפים 108 ו-109 יחולו גם על גביית עדות לפי</w:t>
                        </w:r>
                      </w:p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זה."</w:t>
                        </w:r>
                      </w:p>
                    </w:tc>
                    <w:tc>
                      <w:tcPr>
                        <w:tcW w:w="775" w:type="pct"/>
                      </w:tcPr>
                      <w:p w:rsidR="00921957" w:rsidRDefault="009219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''גביית עדות</w:t>
                        </w:r>
                      </w:p>
                      <w:p w:rsidR="00921957" w:rsidRPr="00921957" w:rsidRDefault="009219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בעבירות זנות</w:t>
                        </w:r>
                      </w:p>
                    </w:tc>
                    <w:tc>
                      <w:tcPr>
                        <w:tcW w:w="835" w:type="pct"/>
                      </w:tcPr>
                      <w:p w:rsidR="00921957" w:rsidRDefault="0092195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21957" w:rsidRDefault="0092195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887" o:spid="_x0000_s1032" type="#_x0000_t202" style="position:absolute;left:0;text-align:left;margin-left:119.4pt;margin-top:74pt;width:308.1pt;height:26.75pt;z-index:1;mso-position-horizontal-relative:page;mso-position-vertical-relative:page" stroked="f">
            <v:textbox style="mso-next-textbox:#_x0000_s20887" inset="0,0,0,0">
              <w:txbxContent>
                <w:p w:rsidR="00921957" w:rsidRPr="00921957" w:rsidRDefault="00921957">
                  <w:pPr>
                    <w:pStyle w:val="OCRStyle1"/>
                    <w:ind w:left="26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סדר הדין הפלילי (תיקון מס' 3), 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2195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A441E24-22F9-42F3-89D2-26D7A4BF8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2195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2008-04-06T22:09:00Z</dcterms:created>
  <dcterms:modified xsi:type="dcterms:W3CDTF">2008-04-06T22:09:00Z</dcterms:modified>
</cp:coreProperties>
</file>