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2141" w:rsidRDefault="00142141">
      <w:pPr>
        <w:rPr>
          <w:rtl/>
        </w:rPr>
      </w:pPr>
    </w:p>
    <w:p w:rsidR="001421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90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901" inset="0,0,0,0">
              <w:txbxContent>
                <w:p w:rsidR="00142141" w:rsidRDefault="00142141">
                  <w:r>
                    <w:rPr>
                      <w:rtl/>
                    </w:rPr>
                    <w:t>194                                          ספר החוקים 566                     ג' באב התשכ"ט 18.07.1969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02" o:spid="_x0000_s1026" type="#_x0000_t202" style="position:absolute;left:0;text-align:left;margin-left:89pt;margin-top:678.8pt;width:376.2pt;height:71.5pt;z-index:6;mso-position-horizontal-relative:page;mso-position-vertical-relative:page" stroked="f">
            <v:textbox style="mso-next-textbox:#_x0000_s20902" inset="0,0,0,0">
              <w:txbxContent>
                <w:p w:rsidR="00142141" w:rsidRDefault="00142141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בתמוז תשכ''ט (9 ביולי 1969); הצעת החוק ודברי הסבר פורסמו בה"ח 831, תשכ"ט,</w:t>
                  </w:r>
                </w:p>
                <w:p w:rsidR="00142141" w:rsidRDefault="00142141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218.</w:t>
                  </w:r>
                </w:p>
                <w:p w:rsidR="00142141" w:rsidRDefault="00142141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תשכ"ה, עמ' 161.</w:t>
                  </w:r>
                </w:p>
                <w:p w:rsidR="00142141" w:rsidRPr="00142141" w:rsidRDefault="00142141">
                  <w:pPr>
                    <w:pStyle w:val="OCRStyle1"/>
                    <w:ind w:left="42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03" o:spid="_x0000_s1027" type="#_x0000_t202" style="position:absolute;left:0;text-align:left;margin-left:101.1pt;margin-top:614.25pt;width:119.6pt;height:29.3pt;z-index:5;mso-position-horizontal-relative:page;mso-position-vertical-relative:page" stroked="f">
            <v:textbox style="mso-next-textbox:#_x0000_s20903" inset="0,0,0,0">
              <w:txbxContent>
                <w:p w:rsidR="00142141" w:rsidRDefault="00142141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42141" w:rsidRDefault="00142141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ממלא מקום 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04" o:spid="_x0000_s1028" type="#_x0000_t202" style="position:absolute;left:0;text-align:left;margin-left:245.65pt;margin-top:612.5pt;width:94.65pt;height:28.5pt;z-index:4;mso-position-horizontal-relative:page;mso-position-vertical-relative:page" stroked="f">
            <v:textbox style="mso-next-textbox:#_x0000_s20904" inset="0,0,0,0">
              <w:txbxContent>
                <w:p w:rsidR="00142141" w:rsidRDefault="00142141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42141" w:rsidRDefault="00142141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05" o:spid="_x0000_s1029" type="#_x0000_t202" style="position:absolute;left:0;text-align:left;margin-left:349.8pt;margin-top:635.85pt;width:119.8pt;height:38.6pt;z-index:3;mso-position-horizontal-relative:page;mso-position-vertical-relative:page" stroked="f">
            <v:textbox style="mso-next-textbox:#_x0000_s20905" inset="0,0,0,0">
              <w:txbxContent>
                <w:p w:rsidR="00142141" w:rsidRDefault="00142141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42141" w:rsidRDefault="00142141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06" o:spid="_x0000_s1030" type="#_x0000_t202" style="position:absolute;left:0;text-align:left;margin-left:85.65pt;margin-top:459.25pt;width:471.05pt;height:153.25pt;z-index:2;mso-position-horizontal-relative:page;mso-position-vertical-relative:page" stroked="f">
            <v:textbox style="mso-next-textbox:#_x0000_s2090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9"/>
                    <w:gridCol w:w="1213"/>
                    <w:gridCol w:w="1483"/>
                  </w:tblGrid>
                  <w:tr w:rsidR="00142141" w:rsidRPr="00142141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142141" w:rsidRPr="00142141" w:rsidRDefault="00142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סדר הדין הפלילי, תשכ"ה-1965 1, אחרי סעיף 49 יבוא סעיף זה:</w:t>
                        </w:r>
                      </w:p>
                    </w:tc>
                    <w:tc>
                      <w:tcPr>
                        <w:tcW w:w="866" w:type="pct"/>
                      </w:tcPr>
                      <w:p w:rsidR="00142141" w:rsidRPr="00142141" w:rsidRDefault="00142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49א</w:t>
                        </w:r>
                      </w:p>
                    </w:tc>
                  </w:tr>
                  <w:tr w:rsidR="00142141">
                    <w:trPr>
                      <w:jc w:val="right"/>
                    </w:trPr>
                    <w:tc>
                      <w:tcPr>
                        <w:tcW w:w="3426" w:type="pct"/>
                      </w:tcPr>
                      <w:p w:rsidR="00142141" w:rsidRDefault="00142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49א. (א) חשוד ששוחרר בערובה ולא הוגש נגדו כתב אישום תוך</w:t>
                        </w:r>
                      </w:p>
                      <w:p w:rsidR="00142141" w:rsidRDefault="00142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מאה ושמונים יום מיום שחרורו בערובה, יופטרו, הוא וערכיו, מערובתם,</w:t>
                        </w:r>
                      </w:p>
                      <w:p w:rsidR="00142141" w:rsidRDefault="00142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ניתן בה ערבון - יוחזר, זולת אם הוארכה תקופת הערובה לפי</w:t>
                        </w:r>
                      </w:p>
                      <w:p w:rsidR="00142141" w:rsidRDefault="00142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(ב).</w:t>
                        </w:r>
                      </w:p>
                      <w:p w:rsidR="00142141" w:rsidRDefault="00142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לא הופטרו החשוד וערכיו מערובתם, רשאי בית</w:t>
                        </w:r>
                      </w:p>
                      <w:p w:rsidR="00142141" w:rsidRDefault="00142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על פי בקשת היועץ המשפטי לממשלה או נציגו, להאריך את</w:t>
                        </w:r>
                      </w:p>
                      <w:p w:rsidR="00142141" w:rsidRDefault="00142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 בסעיף קטן (א) לתקופה נוספת שלא תעלה על מאה</w:t>
                        </w:r>
                      </w:p>
                      <w:p w:rsidR="00142141" w:rsidRDefault="00142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ושמונים יום; ורשאי הוא לחזור ולהאריכה לתקופה נוספת שלא תעלה</w:t>
                        </w:r>
                      </w:p>
                      <w:p w:rsidR="00142141" w:rsidRDefault="00142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תשעים יום, אם הבקשה לכך הוגשה על ידי היועץ המשפטי לממשלה."</w:t>
                        </w:r>
                      </w:p>
                    </w:tc>
                    <w:tc>
                      <w:tcPr>
                        <w:tcW w:w="708" w:type="pct"/>
                      </w:tcPr>
                      <w:p w:rsidR="00142141" w:rsidRDefault="00142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"שחרור מערובה</w:t>
                        </w:r>
                      </w:p>
                      <w:p w:rsidR="00142141" w:rsidRPr="00142141" w:rsidRDefault="00142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באין אישום</w:t>
                        </w:r>
                      </w:p>
                    </w:tc>
                    <w:tc>
                      <w:tcPr>
                        <w:tcW w:w="866" w:type="pct"/>
                      </w:tcPr>
                      <w:p w:rsidR="00142141" w:rsidRDefault="0014214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42141" w:rsidRDefault="001421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907" o:spid="_x0000_s1031" type="#_x0000_t202" style="position:absolute;left:0;text-align:left;margin-left:147.6pt;margin-top:433.5pt;width:264.15pt;height:21.6pt;z-index:1;mso-position-horizontal-relative:page;mso-position-vertical-relative:page" stroked="f">
            <v:textbox style="mso-next-textbox:#_x0000_s20907" inset="0,0,0,0">
              <w:txbxContent>
                <w:p w:rsidR="00142141" w:rsidRPr="00142141" w:rsidRDefault="00142141">
                  <w:pPr>
                    <w:pStyle w:val="OCRStyle1"/>
                    <w:ind w:left="2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סדר הדין הפלילי (תיקון),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421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215EB9-C53D-4638-8A2D-F55FAD6B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4214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2008-04-06T21:14:00Z</dcterms:created>
  <dcterms:modified xsi:type="dcterms:W3CDTF">2008-04-06T21:14:00Z</dcterms:modified>
</cp:coreProperties>
</file>