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6602" w:rsidRDefault="00C66602">
      <w:pPr>
        <w:rPr>
          <w:rtl/>
        </w:rPr>
      </w:pPr>
    </w:p>
    <w:p w:rsidR="00C666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183" inset="0,0,0,0">
              <w:txbxContent>
                <w:p w:rsidR="00FC7D9A" w:rsidRDefault="00FC7D9A">
                  <w:r>
                    <w:rPr>
                      <w:rtl/>
                    </w:rPr>
                    <w:t>84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4" o:spid="_x0000_s1026" type="#_x0000_t202" style="position:absolute;left:0;text-align:left;margin-left:93.1pt;margin-top:640.65pt;width:374pt;height:105.15pt;z-index:3;mso-position-horizontal-relative:page;mso-position-vertical-relative:page" stroked="f">
            <v:textbox style="mso-next-textbox:#_x0000_s21184" inset="0,0,0,0">
              <w:txbxContent>
                <w:p w:rsidR="00FC7D9A" w:rsidRDefault="00FC7D9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כ*ג בשבט תשל"ח (31 בינואר 1978); הצעת החוק ודברי הסבר פורסמו בה"ח 1272, תשל"ז,</w:t>
                  </w:r>
                </w:p>
                <w:p w:rsidR="00FC7D9A" w:rsidRDefault="00FC7D9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עמי 63.</w:t>
                  </w:r>
                </w:p>
                <w:p w:rsidR="00FC7D9A" w:rsidRDefault="00FC7D9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24; תשי"ט, עמ' 92; תשל'יב, עמ' 97; תשל"ג, עמ' 26, עמ' 202; השל"ו, עמ' 223; תשל''ז,</w:t>
                  </w:r>
                </w:p>
                <w:p w:rsidR="00FC7D9A" w:rsidRDefault="00FC7D9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עמ' 34</w:t>
                  </w:r>
                </w:p>
                <w:p w:rsidR="00FC7D9A" w:rsidRPr="00C66602" w:rsidRDefault="00FC7D9A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2 ס''ח תשכ"ז,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5" o:spid="_x0000_s1027" type="#_x0000_t202" style="position:absolute;left:0;text-align:left;margin-left:89.7pt;margin-top:100.5pt;width:459.95pt;height:533.2pt;z-index:2;mso-position-horizontal-relative:page;mso-position-vertical-relative:page" stroked="f">
            <v:textbox style="mso-next-textbox:#_x0000_s211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9"/>
                    <w:gridCol w:w="1105"/>
                    <w:gridCol w:w="1177"/>
                  </w:tblGrid>
                  <w:tr w:rsidR="00FC7D9A" w:rsidRPr="00C66602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FC7D9A" w:rsidRDefault="00FC7D9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הפיקוח על מצרכים ושירותים, תשי"ח-1957 1 (להלן - החוק העיקרי), במקום</w:t>
                        </w:r>
                      </w:p>
                      <w:p w:rsidR="00FC7D9A" w:rsidRPr="00C66602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39 יבוא: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7D9A" w:rsidRPr="00C66602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הוראות</w:t>
                        </w:r>
                      </w:p>
                    </w:tc>
                  </w:tr>
                  <w:tr w:rsidR="00FC7D9A">
                    <w:trPr>
                      <w:jc w:val="right"/>
                    </w:trPr>
                    <w:tc>
                      <w:tcPr>
                        <w:tcW w:w="3635" w:type="pct"/>
                      </w:tcPr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מי שעשה אחת מאלה: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סעיפים 16יג, 16 יד, 20,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26 ו-28;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צו סגירה של מפעל שניתן לפי סעיף 39ד (א) (2)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סעיף 39ה,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 או קנס 200,000 לירות; ואם נעברה העבירה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שלפי צו של שר העבודה חל כמדינה כולה פרק ד' לחוק שירות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כשעת חירום, תשכ"ז-1987  2 , או בנסיבות מחמירות אחרות,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 או קנס 300,000 לירות.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מאלה: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צו הפסקה שניתן לפי סעיף 16י;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תנאי של רשיון או היתר שניתן לפי חוק זה: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הרשה לאחר להשתמש ברשיון או בהיתר שניתן לו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ושאינו ניתן להעברה;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פרטים לא נכונים בבקשה שהגיש לפי סעיף 16 טו;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הוראה מהוראות סעיפים 16ב, 16ג ו-23,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100.000 לירות, ובעבירה נמשכת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 - קנס נוסף 1,000 לירות או מאסר נוסף שבעה ימים לכל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שבו נמשכה העבירה; ואם נעברה העבירה בנסיבות מחמירות, דינו -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שניט או קנס 200,000 לירות, ובעבירה נמשכת לפי פסקה (1) -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2,000 לירות או מאסר נוסף כאמור.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מ- שעשה אחת מאלה, דינו - מאסר שנה או קנס 50,000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לירות: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הפריע לאדם מוסמך לבצע את סמכויותיו לפי חוק זה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מנע זאת ממנו;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להראות לאדם מוסמך פנקס או תעודה אחרת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לחקירה הנערכת לפי חוק זה;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משנדרש למסור ידיעות או להמציא פנקסים או תעודות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 או משנחקר לפי סעיף 32 - לא השיב תשובות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נכונות ומלאות או לא המציא תעודות נכונות;</w:t>
                        </w:r>
                      </w:p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עבר על הוראה מהוראות חוק זה שאינה מפורטת</w:t>
                        </w:r>
                      </w:p>
                      <w:p w:rsidR="00FC7D9A" w:rsidRPr="00C66602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או (ב)</w:t>
                        </w:r>
                      </w:p>
                    </w:tc>
                    <w:tc>
                      <w:tcPr>
                        <w:tcW w:w="661" w:type="pct"/>
                      </w:tcPr>
                      <w:p w:rsidR="00FC7D9A" w:rsidRPr="00C66602" w:rsidRDefault="00FC7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-עונשין</w:t>
                        </w:r>
                      </w:p>
                    </w:tc>
                    <w:tc>
                      <w:tcPr>
                        <w:tcW w:w="704" w:type="pct"/>
                      </w:tcPr>
                      <w:p w:rsidR="00FC7D9A" w:rsidRDefault="00FC7D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C7D9A" w:rsidRDefault="00FC7D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86" o:spid="_x0000_s1028" type="#_x0000_t202" style="position:absolute;left:0;text-align:left;margin-left:103.2pt;margin-top:65.05pt;width:363.15pt;height:33.65pt;z-index:1;mso-position-horizontal-relative:page;mso-position-vertical-relative:page" stroked="f">
            <v:textbox style="mso-next-textbox:#_x0000_s21186" inset="0,0,0,0">
              <w:txbxContent>
                <w:p w:rsidR="00FC7D9A" w:rsidRPr="00C66602" w:rsidRDefault="00FC7D9A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מצרכים ושירותים (תיקון מס' 7), תשל"ח-1978*</w:t>
                  </w:r>
                </w:p>
              </w:txbxContent>
            </v:textbox>
            <w10:wrap anchorx="page" anchory="page"/>
          </v:shape>
        </w:pict>
      </w:r>
    </w:p>
    <w:p w:rsidR="00FE36C3" w:rsidRDefault="00FE36C3">
      <w:pPr>
        <w:rPr>
          <w:rtl/>
        </w:rPr>
      </w:pPr>
      <w:r>
        <w:rPr>
          <w:rtl/>
        </w:rPr>
        <w:br w:type="page"/>
      </w:r>
    </w:p>
    <w:p w:rsidR="00FE36C3" w:rsidRDefault="00000000">
      <w:pPr>
        <w:rPr>
          <w:rtl/>
        </w:rPr>
      </w:pPr>
      <w:r>
        <w:pict>
          <v:shape id="_x0000_s211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187" inset="0,0,0,0">
              <w:txbxContent>
                <w:p w:rsidR="00FC7D9A" w:rsidRDefault="00FC7D9A">
                  <w:r>
                    <w:rPr>
                      <w:rtl/>
                    </w:rPr>
                    <w:t>85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88" o:spid="_x0000_s1030" type="#_x0000_t202" style="position:absolute;left:0;text-align:left;margin-left:357.95pt;margin-top:712.5pt;width:181.95pt;height:27.9pt;z-index:6;mso-position-horizontal-relative:page;mso-position-vertical-relative:page" stroked="f">
            <v:textbox style="mso-next-textbox:#_x0000_s21188" inset="0,0,0,0">
              <w:txbxContent>
                <w:p w:rsidR="00FC7D9A" w:rsidRDefault="00FC7D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189" o:spid="_x0000_s1031" type="#_x0000_t202" style="position:absolute;left:0;text-align:left;margin-left:84.9pt;margin-top:66.2pt;width:423.7pt;height:639.55pt;z-index:5;mso-position-horizontal-relative:page;mso-position-vertical-relative:page" stroked="f">
            <v:textbox style="mso-next-textbox:#_x0000_s2118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484"/>
                  </w:tblGrid>
                  <w:tr w:rsidR="00FC7D9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אחריותו של חבר</w:t>
                        </w:r>
                      </w:p>
                      <w:p w:rsidR="00FC7D9A" w:rsidRPr="00FE36C3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נעברה עבירה לפי חוק זה בידי חבר בני-אדם, יאשם כעבירה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אדם אשר בשעת ביצוע העבירה היה, באותו חכר בני-אדם, מנהל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פעיל, שותף - למעט שותף מוגבל - או עובד מינהלי בכיר האחראי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תחום. אם לא הוכיח שהעבירה נעברה שלא בידיעתו ושנקט כל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להבטחת שמירתו של חוק זה.</w:t>
                        </w:r>
                      </w:p>
                    </w:tc>
                  </w:tr>
                  <w:tr w:rsidR="00FC7D9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אחריותו של</w:t>
                        </w:r>
                      </w:p>
                      <w:p w:rsidR="00FC7D9A" w:rsidRPr="00FE36C3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ומרשה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39ב. נעברה עבירה לפי חוק זה בידי עובד במהלך עיסוקו של מעבידו,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מורשה כשהוא פועל בתחום תפקידיו, יאשם בעבירה גם מעבידו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מרשהו, אם לא הוכיח שהעבירה נעברה שלא בידיעתו ושנקט כל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להבטחת שמירתו של חוק זה.</w:t>
                        </w:r>
                      </w:p>
                    </w:tc>
                  </w:tr>
                  <w:tr w:rsidR="00FC7D9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לעובד</w:t>
                        </w:r>
                      </w:p>
                      <w:p w:rsidR="00FC7D9A" w:rsidRPr="00FE36C3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ומורשה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39ג, תהיה הגנה לעובד או למורשה הנאשם בעבירה לפי חוק זה, אם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יוכיח שפעל בשם מעבידו או בשם מרשהו ובהתאם להוראותיו, וכי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האמין בתום לב שאין במעשהו משום עבירה על חוק זה.</w:t>
                        </w:r>
                      </w:p>
                    </w:tc>
                  </w:tr>
                  <w:tr w:rsidR="00FC7D9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גוססות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המשפט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FC7D9A" w:rsidRPr="00FE36C3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39ד. (א) הורשע אדם בעבירה לפי סעיפים 39 עד 39ב, רשאי בית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נוסף לכל עונש אחר, לצוות -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מצרכים של הנאשם שבהם נעברה העבירה או דמי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מכרם יחולטו, כולם או מקצתם;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מפעל של הנאשם, שבו או לגביו נעכרה העבירה,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ייסגר לתקופה שיקבע בית המשפט ובדרך שיקבע;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רשיון שניתן לנאשם יבוטל או יותלה לתקופה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בית המשפט;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כי ריווח בלתי סביר שבא לידי הנאשם כקשר לעבירה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לאדם שממנו נתקבל, או יחולט כולו או מקצתו, ובלבד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שיצווה על חילוט ריווח כלתי סביר יתן בית המשפט,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כמידה שהדבר מעשי, הזדמנות לאדם שממנו נתקבל להשמיע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דברו: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כי אמצעי הובלה, שהוא קנין הנאשם וששימש מכשיר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העבירה, יחולט.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בעבירה על הוראה מהוראות פרק שני 3, יצווה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בנוסף לכל עובש שהוא רשאי להטיל, כי הנאשם ישלם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את סכום העמלה או שוויה שקיבל שלא כדין; הוראה זו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אם הגישה המדינה תובענה אזרחית על הסכום או השווי האמור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שנסתיימו ההליכים הפליליים, והיא אינה גורעת מכוח המדינה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את הסכום או השווי בדרך תובענה אזרחית אם לא ניתן לקיים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ההליכים הפליליים או אם הם נפסקו.</w:t>
                        </w:r>
                      </w:p>
                    </w:tc>
                  </w:tr>
                  <w:tr w:rsidR="00FC7D9A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C7D9A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סגירת מפעל לפני</w:t>
                        </w:r>
                      </w:p>
                      <w:p w:rsidR="00FC7D9A" w:rsidRPr="00FE36C3" w:rsidRDefault="00FC7D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בירור משפט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39ה. הוגש כתב אישום על עבירה של ניהול מפעל ללא רשיון הדרוש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לניהולו או הפרת תנאי יסודי שברשיון, רשאי בית המשפט שמוגש לו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 לצוות, על פי בקשת היועץ המשפטי לממשלה, פרקליט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פרקליט מחוז, שהמפעל שלגביו נעברה העבירה ייסגר לתקופה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בצו או עד לסיום בירור המשפט; לא יתן בית המשפט צו כאמור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חמישה ימים אלא לאחר שנתן לנאשם הזדמנות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טענותיו; ניתן צו סגירה, רשאי הנאשם לערער על הצו תוך</w:t>
                        </w:r>
                      </w:p>
                      <w:p w:rsidR="00FC7D9A" w:rsidRDefault="00FC7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שניתן, כאילו היה פסק דין.</w:t>
                        </w:r>
                      </w:p>
                    </w:tc>
                  </w:tr>
                </w:tbl>
                <w:p w:rsidR="00FC7D9A" w:rsidRDefault="00FC7D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7D9A" w:rsidRDefault="00FC7D9A">
      <w:pPr>
        <w:rPr>
          <w:rtl/>
        </w:rPr>
      </w:pPr>
      <w:r>
        <w:rPr>
          <w:rtl/>
        </w:rPr>
        <w:br w:type="page"/>
      </w:r>
    </w:p>
    <w:p w:rsidR="00FC7D9A" w:rsidRDefault="00000000">
      <w:pPr>
        <w:rPr>
          <w:rtl/>
        </w:rPr>
      </w:pPr>
      <w:r>
        <w:pict>
          <v:shape id="_x0000_s2119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190" inset="0,0,0,0">
              <w:txbxContent>
                <w:p w:rsidR="00FC7D9A" w:rsidRDefault="00FC7D9A">
                  <w:r>
                    <w:rPr>
                      <w:rtl/>
                    </w:rPr>
                    <w:t>86                                           ספר החוקים 885                 ג' באדר א' התשל"ח 10.02.1978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1" o:spid="_x0000_s1033" type="#_x0000_t202" style="position:absolute;left:0;text-align:left;margin-left:86.8pt;margin-top:570.2pt;width:383.35pt;height:177pt;z-index:11;mso-position-horizontal-relative:page;mso-position-vertical-relative:page" stroked="f">
            <v:textbox style="mso-next-textbox:#_x0000_s21191" inset="0,0,0,0">
              <w:txbxContent>
                <w:p w:rsidR="00FC7D9A" w:rsidRDefault="00FC7D9A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3 ס'ח תשי"א, עמ' 40.</w:t>
                  </w:r>
                </w:p>
                <w:p w:rsidR="00FC7D9A" w:rsidRPr="00FC7D9A" w:rsidRDefault="00FC7D9A">
                  <w:pPr>
                    <w:pStyle w:val="OCRStyle3"/>
                    <w:ind w:left="4028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2" o:spid="_x0000_s1034" type="#_x0000_t202" style="position:absolute;left:0;text-align:left;margin-left:114.5pt;margin-top:220.55pt;width:84.35pt;height:39.6pt;z-index:10;mso-position-horizontal-relative:page;mso-position-vertical-relative:page" stroked="f">
            <v:textbox style="mso-next-textbox:#_x0000_s21192" inset="0,0,0,0">
              <w:txbxContent>
                <w:p w:rsidR="00FC7D9A" w:rsidRDefault="00FC7D9A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C7D9A" w:rsidRDefault="00FC7D9A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3" o:spid="_x0000_s1035" type="#_x0000_t202" style="position:absolute;left:0;text-align:left;margin-left:320.25pt;margin-top:235.8pt;width:106.15pt;height:55.65pt;z-index:9;mso-position-horizontal-relative:page;mso-position-vertical-relative:page" stroked="f">
            <v:textbox style="mso-next-textbox:#_x0000_s21193" inset="0,0,0,0">
              <w:txbxContent>
                <w:p w:rsidR="00FC7D9A" w:rsidRDefault="00FC7D9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C7D9A" w:rsidRDefault="00FC7D9A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4" o:spid="_x0000_s1036" type="#_x0000_t202" style="position:absolute;left:0;text-align:left;margin-left:97.7pt;margin-top:70.65pt;width:456.8pt;height:133.85pt;z-index:8;mso-position-horizontal-relative:page;mso-position-vertical-relative:page" stroked="f">
            <v:textbox style="mso-next-textbox:#_x0000_s211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2"/>
                    <w:gridCol w:w="1628"/>
                    <w:gridCol w:w="965"/>
                  </w:tblGrid>
                  <w:tr w:rsidR="00FC7D9A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39ו. בית המשפט רשאי לצוות שפסק דין חלוט או תמציתו יפורסמו</w:t>
                        </w:r>
                      </w:p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ברבים, בצורה ובאופן שיקבע, ולהורות מי ישא בהוצאות הפרסום?</w:t>
                        </w:r>
                      </w:p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הורה בית המשפט שהנאשם ישא בהוצאות הפרסום, יהיה דינן כדין</w:t>
                        </w:r>
                      </w:p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שהטיל בית המשפט."</w:t>
                        </w:r>
                      </w:p>
                    </w:tc>
                    <w:tc>
                      <w:tcPr>
                        <w:tcW w:w="980" w:type="pct"/>
                      </w:tcPr>
                      <w:p w:rsidR="00FC7D9A" w:rsidRPr="00FC7D9A" w:rsidRDefault="00FC7D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פסק דין</w:t>
                        </w:r>
                      </w:p>
                    </w:tc>
                    <w:tc>
                      <w:tcPr>
                        <w:tcW w:w="581" w:type="pct"/>
                      </w:tcPr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C7D9A" w:rsidRPr="00FC7D9A">
                    <w:trPr>
                      <w:jc w:val="right"/>
                    </w:trPr>
                    <w:tc>
                      <w:tcPr>
                        <w:tcW w:w="4419" w:type="pct"/>
                        <w:gridSpan w:val="2"/>
                      </w:tcPr>
                      <w:p w:rsidR="00FC7D9A" w:rsidRDefault="00FC7D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בטלים -</w:t>
                        </w:r>
                      </w:p>
                      <w:p w:rsid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16יא ו-32 גב) לחוק העיקרי;</w:t>
                        </w:r>
                      </w:p>
                      <w:p w:rsidR="00FC7D9A" w:rsidRPr="00FC7D9A" w:rsidRDefault="00FC7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למניעת הפקעת שערים וספסרות (שיפוט). תשי"א-1951 3.</w:t>
                        </w:r>
                      </w:p>
                    </w:tc>
                    <w:tc>
                      <w:tcPr>
                        <w:tcW w:w="581" w:type="pct"/>
                      </w:tcPr>
                      <w:p w:rsidR="00FC7D9A" w:rsidRPr="00FC7D9A" w:rsidRDefault="00FC7D9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FC7D9A" w:rsidRDefault="00FC7D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66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2EDA9E-64D4-453E-9222-B517F95E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660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36C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7D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2008-04-06T23:35:00Z</dcterms:created>
  <dcterms:modified xsi:type="dcterms:W3CDTF">2008-04-06T23:35:00Z</dcterms:modified>
</cp:coreProperties>
</file>