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2918" w:rsidRDefault="00132918">
      <w:pPr>
        <w:rPr>
          <w:rtl/>
        </w:rPr>
      </w:pPr>
    </w:p>
    <w:p w:rsidR="001329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23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238" inset="0,0,0,0">
              <w:txbxContent>
                <w:p w:rsidR="00A24FE8" w:rsidRDefault="00A24FE8">
                  <w:r>
                    <w:rPr>
                      <w:rtl/>
                    </w:rPr>
                    <w:t>97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39" o:spid="_x0000_s1026" type="#_x0000_t202" style="position:absolute;left:0;text-align:left;margin-left:169.65pt;margin-top:672.15pt;width:382.15pt;height:80pt;z-index:3;mso-position-horizontal-relative:page;mso-position-vertical-relative:page" stroked="f">
            <v:textbox style="mso-next-textbox:#_x0000_s21239" inset="0,0,0,0">
              <w:txbxContent>
                <w:p w:rsidR="00A24FE8" w:rsidRDefault="00A24FE8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בניסן תשל"ב (23 במרס 1972); הגעת החוק ודברי הסבר פורסמו בה"ח 879, תש"ל,</w:t>
                  </w:r>
                </w:p>
                <w:p w:rsidR="00A24FE8" w:rsidRDefault="00A24FE8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עמי 121.</w:t>
                  </w:r>
                </w:p>
                <w:p w:rsidR="00A24FE8" w:rsidRPr="00132918" w:rsidRDefault="00A24FE8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1 ס"ח תשי"ח, עמ' 24; תשי"ט,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40" o:spid="_x0000_s1027" type="#_x0000_t202" style="position:absolute;left:0;text-align:left;margin-left:113.6pt;margin-top:116.95pt;width:451.25pt;height:555pt;z-index:2;mso-position-horizontal-relative:page;mso-position-vertical-relative:page" stroked="f">
            <v:textbox style="mso-next-textbox:#_x0000_s2124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7"/>
                    <w:gridCol w:w="5664"/>
                    <w:gridCol w:w="1385"/>
                  </w:tblGrid>
                  <w:tr w:rsidR="00A24FE8" w:rsidRPr="0013291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24FE8" w:rsidRPr="0013291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3 לחוק הפיקוח על מצרכים ושירותים, תשי"ח-1957  1 (להלן - החוק העיקרי),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"או למניעת הפקעת שערים וספסרות" יבוא "למניעת הפקעת שעדים וספסרות או</w:t>
                        </w:r>
                      </w:p>
                      <w:p w:rsidR="00A24FE8" w:rsidRPr="0013291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הונאת הציבור*:</w:t>
                        </w:r>
                      </w:p>
                    </w:tc>
                  </w:tr>
                  <w:tr w:rsidR="00A24FE8" w:rsidRPr="0013291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24FE8" w:rsidRPr="0013291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A24FE8" w:rsidRPr="0013291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סעיף קטן (ג1) - כגזל.</w:t>
                        </w:r>
                      </w:p>
                    </w:tc>
                  </w:tr>
                  <w:tr w:rsidR="00A24FE8" w:rsidRPr="0013291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הפרק</w:t>
                        </w:r>
                      </w:p>
                      <w:p w:rsidR="00A24FE8" w:rsidRPr="0013291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</w:t>
                        </w:r>
                      </w:p>
                    </w:tc>
                    <w:tc>
                      <w:tcPr>
                        <w:tcW w:w="4295" w:type="pct"/>
                        <w:gridSpan w:val="2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בפרק רביעי לחוק העיקרי -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ככותרת הפרק, אחרי "רווחים מופקעים" יבוא "והונאת הציבור";</w:t>
                        </w:r>
                      </w:p>
                      <w:p w:rsidR="00A24FE8" w:rsidRPr="0013291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29 יבוא:</w:t>
                        </w:r>
                      </w:p>
                    </w:tc>
                  </w:tr>
                  <w:tr w:rsidR="00A24FE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A24FE8" w:rsidRPr="00132918" w:rsidRDefault="00A24FE8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סימן ג': מניעת הונאת הציבור</w:t>
                        </w:r>
                      </w:p>
                    </w:tc>
                    <w:tc>
                      <w:tcPr>
                        <w:tcW w:w="844" w:type="pct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24FE8" w:rsidRPr="0013291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בסימן זה -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'-עסקה" - מכר, שכירות, מקח-אגב-שכירות או מתן שירות, לרבות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אחת העסקאות האמורות;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"מוכר" - מוכר לצרכן, לרבות משכיר, נותן שירות ומציע;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"קונה" - לרבות שוכר ומקבל שירות;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"באשראי" .- בתשלום מחירה של עסקה, בולו או מקצתו, במועדים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 מסירת המצרך או גמר מתן השירות;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"במזומנים" - כתשלום המחיר כולו עם מסירת המצרך או מתן השירות;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"מחיר" - לרבות שכר.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A24FE8" w:rsidRPr="0013291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A24FE8" w:rsidRPr="00132918">
                    <w:trPr>
                      <w:jc w:val="right"/>
                    </w:trPr>
                    <w:tc>
                      <w:tcPr>
                        <w:tcW w:w="705" w:type="pct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1" w:type="pct"/>
                      </w:tcPr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29ב. היה לשר יסוד סביר להניח כי הדבר דרוש למניעת הונאת הציבור,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בצו לחייב מוכר באשראי להציג, באופן שבקבע בצו, לגבי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המצרך או השירות שנעשית בו עסקה באשראי, פרטים אלה: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המחיר במזומן והמחיר באשראי, בנקיבת הסכומים של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הובלה, מסירה, אריזה, ביטוח או כל שירות לוואי נוסף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הכלולים באותם מחירים;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הריבית שבמחיר באשראי;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סכומה ומהותה של כל תוספת אחרת שעל המחיר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במזומן;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מועדי הפרעון של המחיר באשראי ושיעורי הפרעון;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 תנאי- אחר שלדעת השר עשוי לגרום לקיפוחו של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קונה;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השירותים הניתנים להחזקת המצרך במצב תקין, לרבות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 והחלפת חלקים;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דמי השירותים שעל הקונה לשלם - לפי תקופת</w:t>
                        </w:r>
                      </w:p>
                      <w:p w:rsidR="00A24FE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הקדרות, לפי סוג השירות, או לפי כל חישוב אחר - בעד</w:t>
                        </w:r>
                      </w:p>
                    </w:tc>
                    <w:tc>
                      <w:tcPr>
                        <w:tcW w:w="844" w:type="pct"/>
                      </w:tcPr>
                      <w:p w:rsidR="00A24FE8" w:rsidRPr="00132918" w:rsidRDefault="00A24FE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פרסים</w:t>
                        </w:r>
                      </w:p>
                    </w:tc>
                  </w:tr>
                </w:tbl>
                <w:p w:rsidR="00A24FE8" w:rsidRDefault="00A24FE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241" o:spid="_x0000_s1028" type="#_x0000_t202" style="position:absolute;left:0;text-align:left;margin-left:167.85pt;margin-top:90.2pt;width:380.55pt;height:25.75pt;z-index:1;mso-position-horizontal-relative:page;mso-position-vertical-relative:page" stroked="f">
            <v:textbox style="mso-next-textbox:#_x0000_s21241" inset="0,0,0,0">
              <w:txbxContent>
                <w:p w:rsidR="00A24FE8" w:rsidRPr="00132918" w:rsidRDefault="00A24FE8">
                  <w:pPr>
                    <w:pStyle w:val="OCRStyle1"/>
                    <w:ind w:left="11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הפיקוח על מצרכים ושירותים (תיקון מס' 2), תשל"ב-1972 *</w:t>
                  </w:r>
                </w:p>
              </w:txbxContent>
            </v:textbox>
            <w10:wrap anchorx="page" anchory="page"/>
          </v:shape>
        </w:pict>
      </w:r>
    </w:p>
    <w:p w:rsidR="00B754B9" w:rsidRDefault="00B754B9">
      <w:pPr>
        <w:rPr>
          <w:rtl/>
        </w:rPr>
      </w:pPr>
      <w:r>
        <w:rPr>
          <w:rtl/>
        </w:rPr>
        <w:br w:type="page"/>
      </w:r>
    </w:p>
    <w:p w:rsidR="00B754B9" w:rsidRDefault="00000000">
      <w:pPr>
        <w:rPr>
          <w:rtl/>
        </w:rPr>
      </w:pPr>
      <w:r>
        <w:pict>
          <v:shape id="_x0000_s2124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242" inset="0,0,0,0">
              <w:txbxContent>
                <w:p w:rsidR="00A24FE8" w:rsidRDefault="00A24FE8">
                  <w:r>
                    <w:rPr>
                      <w:rtl/>
                    </w:rPr>
                    <w:t>98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43" o:spid="_x0000_s1030" type="#_x0000_t202" style="position:absolute;left:0;text-align:left;margin-left:77.65pt;margin-top:738.95pt;width:185.9pt;height:28.5pt;z-index:7;mso-position-horizontal-relative:page;mso-position-vertical-relative:page" stroked="f">
            <v:textbox style="mso-next-textbox:#_x0000_s21243" inset="0,0,0,0">
              <w:txbxContent>
                <w:p w:rsidR="00A24FE8" w:rsidRDefault="00A24FE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244" o:spid="_x0000_s1031" type="#_x0000_t202" style="position:absolute;left:0;text-align:left;margin-left:342.75pt;margin-top:708.85pt;width:122.35pt;height:33.45pt;z-index:6;mso-position-horizontal-relative:page;mso-position-vertical-relative:page" stroked="f">
            <v:textbox style="mso-next-textbox:#_x0000_s21244" inset="0,0,0,0">
              <w:txbxContent>
                <w:p w:rsidR="00A24FE8" w:rsidRPr="00B754B9" w:rsidRDefault="00A24FE8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2 ס"ח תשכ"ד, עמ' 58.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45" o:spid="_x0000_s1032" type="#_x0000_t202" style="position:absolute;left:0;text-align:left;margin-left:78.65pt;margin-top:99.4pt;width:466.5pt;height:606.85pt;z-index:5;mso-position-horizontal-relative:page;mso-position-vertical-relative:page" stroked="f">
            <v:textbox style="mso-next-textbox:#_x0000_s2124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1"/>
                    <w:gridCol w:w="1440"/>
                    <w:gridCol w:w="1462"/>
                  </w:tblGrid>
                  <w:tr w:rsidR="00A24FE8">
                    <w:trPr>
                      <w:jc w:val="right"/>
                    </w:trPr>
                    <w:tc>
                      <w:tcPr>
                        <w:tcW w:w="3289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המצרך במצב תקין, לרבות דמי תיקונים והחלפת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חלקים;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תקופת האחריות למצרך או לשירות ותנאי האחריות;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כל פרט אחר שיקבע שר לשם מניעת הונאת הציבור.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2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24FE8">
                    <w:trPr>
                      <w:jc w:val="right"/>
                    </w:trPr>
                    <w:tc>
                      <w:tcPr>
                        <w:tcW w:w="3289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29ג. שר דשאי בצו לחייב מוכר באשראי -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להודיע לקובה בעת הצעת מכירה או הצעת שירות, או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פרסום מצדך או שירות, את הפרטים המפורטים בסעיף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29ב כולם או מקצתם;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למסור לקונה חשבון בנקיבת שמו ובחתימת ידו של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המוכר ובו הפרטים שבסעיף 29ב, ובמצרך או שירות בני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- גם הפרטים לפי סעיפים 25 או 29.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24FE8" w:rsidRPr="00B754B9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וחשבון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24FE8">
                    <w:trPr>
                      <w:jc w:val="right"/>
                    </w:trPr>
                    <w:tc>
                      <w:tcPr>
                        <w:tcW w:w="3289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היה לשר יסוד סביר להניח כי הדבר דרוש למניעת הונאת הציבור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בצו לחייב מוכר באשראי לערוך הסכם בכתב עפ קונה ולציין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בהסכם, או במסמך מצורף אליו כחלק בלתי נפרד ממנו, את הפרטים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בסעיף 29ג, לפי הענין; העתקים חתומים של הסכם ושל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המצורף לו יימסרו לקונה.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24FE8" w:rsidRPr="00B754B9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בכתב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24FE8">
                    <w:trPr>
                      <w:jc w:val="right"/>
                    </w:trPr>
                    <w:tc>
                      <w:tcPr>
                        <w:tcW w:w="3289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29ה. (א) שר רשאי להורות בצו. שהסכם על עסקה באשראי עפ צרכן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בהתה אחיד שאושר במועצה לפי חוק החוזים האחידים, תשכ"ד-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21963. אלא שהמועצה תהיה רשאית לא לאשר תנאי שבחוזה אף אם איננו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מגביל כמשמעותו בחוק האמור.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נתן שד צו כאמור בסעיף קטן (א), לא יהיה תוקף לחוזה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לאחר תחילתו לגבי עסקה שהצו חל עליו, אלא אם הוא החוזה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 השייך לאותה עסקה.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בחוזה</w:t>
                        </w:r>
                      </w:p>
                      <w:p w:rsidR="00A24FE8" w:rsidRPr="00B754B9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24FE8">
                    <w:trPr>
                      <w:jc w:val="right"/>
                    </w:trPr>
                    <w:tc>
                      <w:tcPr>
                        <w:tcW w:w="3289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29ו. צו לפי סימן זה יכול להיות כללי או מיוחד או מוגבל לחלק משטח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לסוג מסויים של עסקאות, של מצרכים או של שירותים."</w:t>
                        </w:r>
                      </w:p>
                    </w:tc>
                    <w:tc>
                      <w:tcPr>
                        <w:tcW w:w="849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צווים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24FE8" w:rsidRPr="00B754B9">
                    <w:trPr>
                      <w:jc w:val="right"/>
                    </w:trPr>
                    <w:tc>
                      <w:tcPr>
                        <w:tcW w:w="4138" w:type="pct"/>
                        <w:gridSpan w:val="2"/>
                      </w:tcPr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39 לחוק העיקרי, אחרי סעיף קטן (ה) יבוא: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הורשע אדם בעבירה לפי סעיף קטן (א), דשאי בית המשפט,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לכל עונש וכל אמצעי לוואי שהוא דשאי להטיל, לצוות כי המפעל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הנאשם, שלגביו נעברה העבירה, ייסגר לחלוטין או לתקופה שנקבעה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בצו.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הוגש כתב אישום על עבירה לפי סעיף קטן (א) שהיא ניהול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ללא רשיון הדרוש לניהולו או הפרת תנאי יסודי שברשיון, רשאי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של בית המשפט שהוגש לו כתב האישום לצוות, על פי כקשת</w:t>
                        </w:r>
                      </w:p>
                      <w:p w:rsidR="00A24FE8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לממשלה, פרקליט המדינה או פרקליט מחוז, שהמפעל</w:t>
                        </w:r>
                      </w:p>
                      <w:p w:rsidR="00A24FE8" w:rsidRPr="00B754B9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נעבדה העבירה ייסגר לתקופה מסויימת או עד לסיום בירור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24FE8" w:rsidRPr="00B754B9" w:rsidRDefault="00A24FE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39</w:t>
                        </w:r>
                      </w:p>
                    </w:tc>
                  </w:tr>
                </w:tbl>
                <w:p w:rsidR="00A24FE8" w:rsidRDefault="00A24FE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474A0" w:rsidRDefault="009474A0">
      <w:pPr>
        <w:rPr>
          <w:rtl/>
        </w:rPr>
      </w:pPr>
      <w:r>
        <w:rPr>
          <w:rtl/>
        </w:rPr>
        <w:br w:type="page"/>
      </w:r>
    </w:p>
    <w:p w:rsidR="009474A0" w:rsidRDefault="00000000">
      <w:pPr>
        <w:rPr>
          <w:rtl/>
        </w:rPr>
      </w:pPr>
      <w:r>
        <w:pict>
          <v:shape id="_x0000_s21246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1246" inset="0,0,0,0">
              <w:txbxContent>
                <w:p w:rsidR="00A24FE8" w:rsidRDefault="00A24FE8">
                  <w:r>
                    <w:rPr>
                      <w:rtl/>
                    </w:rPr>
                    <w:t>99 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47" o:spid="_x0000_s1034" type="#_x0000_t202" style="position:absolute;left:0;text-align:left;margin-left:350.15pt;margin-top:722.95pt;width:175.65pt;height:25.95pt;z-index:12;mso-position-horizontal-relative:page;mso-position-vertical-relative:page" stroked="f">
            <v:textbox style="mso-next-textbox:#_x0000_s21247" inset="0,0,0,0">
              <w:txbxContent>
                <w:p w:rsidR="00A24FE8" w:rsidRDefault="00A24FE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248" o:spid="_x0000_s1035" type="#_x0000_t202" style="position:absolute;left:0;text-align:left;margin-left:171.95pt;margin-top:173.9pt;width:105.15pt;height:47.3pt;z-index:11;mso-position-horizontal-relative:page;mso-position-vertical-relative:page" stroked="f">
            <v:textbox style="mso-next-textbox:#_x0000_s21248" inset="0,0,0,0">
              <w:txbxContent>
                <w:p w:rsidR="00A24FE8" w:rsidRDefault="00A24FE8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24FE8" w:rsidRDefault="00A24FE8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49" o:spid="_x0000_s1036" type="#_x0000_t202" style="position:absolute;left:0;text-align:left;margin-left:379.45pt;margin-top:202.25pt;width:154.05pt;height:38.8pt;z-index:10;mso-position-horizontal-relative:page;mso-position-vertical-relative:page" stroked="f">
            <v:textbox style="mso-next-textbox:#_x0000_s21249" inset="0,0,0,0">
              <w:txbxContent>
                <w:p w:rsidR="00A24FE8" w:rsidRDefault="00A24FE8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24FE8" w:rsidRDefault="00A24FE8">
                  <w:pPr>
                    <w:pStyle w:val="OCRStyle3"/>
                    <w:ind w:left="7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50" o:spid="_x0000_s1037" type="#_x0000_t202" style="position:absolute;left:0;text-align:left;margin-left:115.15pt;margin-top:85.2pt;width:360.75pt;height:70.5pt;z-index:9;mso-position-horizontal-relative:page;mso-position-vertical-relative:page" stroked="f">
            <v:textbox style="mso-next-textbox:#_x0000_s21250" inset="0,0,0,0">
              <w:txbxContent>
                <w:p w:rsidR="00A24FE8" w:rsidRDefault="00A24FE8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המשפט; אך לא יתן שופט צו כאמור לתקופה העולה על שלושה ימים,</w:t>
                  </w:r>
                </w:p>
                <w:p w:rsidR="00A24FE8" w:rsidRDefault="00A24FE8">
                  <w:pPr>
                    <w:pStyle w:val="OCRStyle3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אלא לאחר שבתן לנאשם הזדמנות להשמיע טענותיו; ניתן צו סגירה,</w:t>
                  </w:r>
                </w:p>
                <w:p w:rsidR="00A24FE8" w:rsidRDefault="00A24FE8">
                  <w:pPr>
                    <w:pStyle w:val="OCRStyle3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רשאי הנאשם לערער על הצו תוך חמישה עשר יום מיום שניתן כאילו</w:t>
                  </w:r>
                </w:p>
                <w:p w:rsidR="00A24FE8" w:rsidRDefault="00A24FE8">
                  <w:pPr>
                    <w:pStyle w:val="OCRStyle3"/>
                    <w:ind w:left="565"/>
                  </w:pPr>
                  <w:r>
                    <w:rPr>
                      <w:rtl/>
                    </w:rPr>
                    <w:t>היה הצו פסק-דין.",</w:t>
                  </w:r>
                </w:p>
              </w:txbxContent>
            </v:textbox>
            <w10:wrap anchorx="page" anchory="page"/>
          </v:shape>
        </w:pict>
      </w:r>
    </w:p>
    <w:p w:rsidR="00A24FE8" w:rsidRDefault="00A24FE8">
      <w:pPr>
        <w:rPr>
          <w:rtl/>
        </w:rPr>
      </w:pPr>
      <w:r>
        <w:rPr>
          <w:rtl/>
        </w:rPr>
        <w:br w:type="page"/>
      </w:r>
    </w:p>
    <w:p w:rsidR="00A24FE8" w:rsidRDefault="00000000">
      <w:pPr>
        <w:rPr>
          <w:rtl/>
        </w:rPr>
      </w:pPr>
      <w:r>
        <w:pict>
          <v:shape id="_x0000_s21251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1251" inset="0,0,0,0">
              <w:txbxContent>
                <w:p w:rsidR="00A24FE8" w:rsidRDefault="00A24FE8">
                  <w:r>
                    <w:rPr>
                      <w:rtl/>
                    </w:rPr>
                    <w:t>100                                          ספר החוקים 654                  י"ח בניסן התשל"ב 02.04.1972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1252" o:spid="_x0000_s1039" type="#_x0000_t202" style="position:absolute;left:0;text-align:left;margin-left:89.9pt;margin-top:723.3pt;width:162.75pt;height:33.45pt;z-index:14;mso-position-horizontal-relative:page;mso-position-vertical-relative:page" stroked="f">
            <v:textbox style="mso-next-textbox:#_x0000_s21252" inset="0,0,0,0">
              <w:txbxContent>
                <w:p w:rsidR="00A24FE8" w:rsidRDefault="00A24FE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29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54FC94-0BBC-47D6-A399-AAFE7280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291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754B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474A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24FE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2008-04-06T21:48:00Z</dcterms:created>
  <dcterms:modified xsi:type="dcterms:W3CDTF">2008-04-06T21:48:00Z</dcterms:modified>
</cp:coreProperties>
</file>