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5E94" w:rsidRDefault="001A5E94">
      <w:pPr>
        <w:rPr>
          <w:rtl/>
        </w:rPr>
      </w:pPr>
    </w:p>
    <w:p w:rsidR="001A5E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353" inset="0,0,0,0">
              <w:txbxContent>
                <w:p w:rsidR="001A5E94" w:rsidRDefault="001A5E94">
                  <w:r>
                    <w:rPr>
                      <w:rtl/>
                    </w:rPr>
                    <w:t>26                                           ספר החוקים 835                    ב' בטבת התשל"ז 23.12.1976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54" o:spid="_x0000_s1026" type="#_x0000_t202" style="position:absolute;left:0;text-align:left;margin-left:107.55pt;margin-top:616.55pt;width:385.9pt;height:127.5pt;z-index:6;mso-position-horizontal-relative:page;mso-position-vertical-relative:page" stroked="f">
            <v:textbox style="mso-next-textbox:#_x0000_s21354" inset="0,0,0,0">
              <w:txbxContent>
                <w:p w:rsidR="001A5E94" w:rsidRDefault="001A5E9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נתקנל בכנסת ביום כ"ב בכסלו תשל"ז (14 בדצמבר 1976); הצעת החוק ודברי הסבר פורסמו בה"ח 1254 ,תשל"י,</w:t>
                  </w:r>
                </w:p>
                <w:p w:rsidR="001A5E94" w:rsidRDefault="001A5E94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עמ' 353.</w:t>
                  </w:r>
                </w:p>
                <w:p w:rsidR="001A5E94" w:rsidRDefault="001A5E9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ס"ח תשביה, עמי 48.</w:t>
                  </w:r>
                </w:p>
                <w:p w:rsidR="001A5E94" w:rsidRDefault="001A5E9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א', פרק כ"ג, עמ' .332</w:t>
                  </w:r>
                </w:p>
                <w:p w:rsidR="001A5E94" w:rsidRPr="001A5E94" w:rsidRDefault="001A5E94">
                  <w:pPr>
                    <w:pStyle w:val="OCRStyle1"/>
                    <w:ind w:left="4306"/>
                  </w:pPr>
                  <w:r>
                    <w:rPr>
                      <w:rtl/>
                    </w:rPr>
                    <w:t>ספר החוקים 835, ג' בטבת תשל"ז, 23.12.1976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55" o:spid="_x0000_s1027" type="#_x0000_t202" style="position:absolute;left:0;text-align:left;margin-left:123.4pt;margin-top:484.9pt;width:95.65pt;height:36.05pt;z-index:5;mso-position-horizontal-relative:page;mso-position-vertical-relative:page" stroked="f">
            <v:textbox style="mso-next-textbox:#_x0000_s21355" inset="0,0,0,0">
              <w:txbxContent>
                <w:p w:rsidR="001A5E94" w:rsidRDefault="001A5E9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1A5E94" w:rsidRDefault="001A5E94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56" o:spid="_x0000_s1028" type="#_x0000_t202" style="position:absolute;left:0;text-align:left;margin-left:251.9pt;margin-top:485.65pt;width:88.1pt;height:36.05pt;z-index:4;mso-position-horizontal-relative:page;mso-position-vertical-relative:page" stroked="f">
            <v:textbox style="mso-next-textbox:#_x0000_s21356" inset="0,0,0,0">
              <w:txbxContent>
                <w:p w:rsidR="001A5E94" w:rsidRDefault="001A5E9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A5E94" w:rsidRDefault="001A5E94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57" o:spid="_x0000_s1029" type="#_x0000_t202" style="position:absolute;left:0;text-align:left;margin-left:399.4pt;margin-top:515pt;width:104.95pt;height:42.75pt;z-index:3;mso-position-horizontal-relative:page;mso-position-vertical-relative:page" stroked="f">
            <v:textbox style="mso-next-textbox:#_x0000_s21357" inset="0,0,0,0">
              <w:txbxContent>
                <w:p w:rsidR="001A5E94" w:rsidRDefault="001A5E94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A5E94" w:rsidRDefault="001A5E94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58" o:spid="_x0000_s1030" type="#_x0000_t202" style="position:absolute;left:0;text-align:left;margin-left:96.7pt;margin-top:114.05pt;width:457.95pt;height:356.6pt;z-index:2;mso-position-horizontal-relative:page;mso-position-vertical-relative:page" stroked="f">
            <v:textbox style="mso-next-textbox:#_x0000_s213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5"/>
                    <w:gridCol w:w="1311"/>
                    <w:gridCol w:w="1061"/>
                  </w:tblGrid>
                  <w:tr w:rsidR="001A5E94" w:rsidRPr="001A5E94">
                    <w:trPr>
                      <w:jc w:val="right"/>
                    </w:trPr>
                    <w:tc>
                      <w:tcPr>
                        <w:tcW w:w="4363" w:type="pct"/>
                        <w:gridSpan w:val="2"/>
                      </w:tcPr>
                      <w:p w:rsidR="001A5E94" w:rsidRP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9 לחוק הפיקוח על מעונות, תשכ"ה-1965 1, יבוא:</w:t>
                        </w:r>
                      </w:p>
                    </w:tc>
                    <w:tc>
                      <w:tcPr>
                        <w:tcW w:w="637" w:type="pct"/>
                        <w:vMerge w:val="restart"/>
                      </w:tcPr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סעיפים</w:t>
                        </w:r>
                      </w:p>
                      <w:p w:rsidR="001A5E94" w:rsidRP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א-9ג</w:t>
                        </w:r>
                      </w:p>
                    </w:tc>
                  </w:tr>
                  <w:tr w:rsidR="001A5E9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הוכח לבית משפט שלום, במשפט המתנהל לפניו על עבירה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 או על פי בקשת שר הסעד או מי שהוא הסמיך לכך, שאין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מתקיים במעון תנאי מהתנאים שנקבעו בחוק זה או בתקנות או ברשיון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פיו, רשאי הוא, בין אגב הרשעה בעבירה כאמור ובנוסף לכל עונש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שיטיל ובין בדרך היענות לבקשה כאמור, לצוות על סגירת המעון לצמי-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תות או לתקופה שיקבע, בתנאים שיקבע, לרבות דאגה לחוסים.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הוגש כתב אישום על עבירה לפי סעיף 9, או הוגשה בקשה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שר הסעד כאמור בסעיף קטן (א), רשאי בית משפט השלום, על פי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נוספת מאת התובע או בא כוח השר, לפי הענין, לצוות על סגירת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המעון עד לסיום ההליכים המשפטיים, בתנאים שיקבע, לרבות דאגה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לחוסים.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A5E94" w:rsidRP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"מגירת מעון</w:t>
                        </w:r>
                      </w:p>
                    </w:tc>
                    <w:tc>
                      <w:tcPr>
                        <w:tcW w:w="637" w:type="pct"/>
                        <w:vMerge/>
                      </w:tcPr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A5E9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9ב. (א) בית המשפט רשאי להטיל בצו את ביצוע סגירת המעון על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שיקבע או על מנהל המעון ולתת להם הוראות בדבר דרכי הביצוע.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הוטלה סגירת המעוז על מנהל המעון והוא לא ביצע את הצו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עליו, דינו - מאסר ששה חדשים ומאסר שבעה ימים לכל יום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נמשכה העבירה אחרי המצאת הצו.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ככל חוק יהיו עכירות לפי סעיף זה עוונות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דבר.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A5E94" w:rsidRP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637" w:type="pct"/>
                      </w:tcPr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A5E9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9ג. שום דבר בחוק זה לא יתפרש כאילו בא לגרוע מסמכותו של בית-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פקודת בדון בית-המשפט2, אך לא ישא אדם באחריות גם</w:t>
                        </w:r>
                      </w:p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וגם לפי פקודת בזיון בית-המשפט."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A5E94" w:rsidRP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סמכות</w:t>
                        </w:r>
                      </w:p>
                    </w:tc>
                    <w:tc>
                      <w:tcPr>
                        <w:tcW w:w="637" w:type="pct"/>
                      </w:tcPr>
                      <w:p w:rsidR="001A5E94" w:rsidRDefault="001A5E9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A5E94" w:rsidRDefault="001A5E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59" o:spid="_x0000_s1031" type="#_x0000_t202" style="position:absolute;left:0;text-align:left;margin-left:164.6pt;margin-top:73.65pt;width:272.65pt;height:31.9pt;z-index:1;mso-position-horizontal-relative:page;mso-position-vertical-relative:page" stroked="f">
            <v:textbox style="mso-next-textbox:#_x0000_s21359" inset="0,0,0,0">
              <w:txbxContent>
                <w:p w:rsidR="001A5E94" w:rsidRPr="001A5E94" w:rsidRDefault="001A5E94">
                  <w:pPr>
                    <w:pStyle w:val="OCRStyle1"/>
                    <w:ind w:left="3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מעונות (תיקון), תשל"ז-1976*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5E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48E93D-DEC5-4E4E-8487-9FB84498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5E9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2008-04-06T22:54:00Z</dcterms:created>
  <dcterms:modified xsi:type="dcterms:W3CDTF">2008-04-06T22:54:00Z</dcterms:modified>
</cp:coreProperties>
</file>