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C6ABF" w:rsidRDefault="00EC6ABF">
      <w:pPr>
        <w:rPr>
          <w:rtl/>
        </w:rPr>
      </w:pPr>
    </w:p>
    <w:p w:rsidR="00EC6AB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49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1496" inset="0,0,0,0">
              <w:txbxContent>
                <w:p w:rsidR="00CB019C" w:rsidRDefault="00CB019C">
                  <w:r>
                    <w:rPr>
                      <w:rtl/>
                    </w:rPr>
                    <w:t>26                                           ספר החוקים 950                  ט"ז בכסליו התש"מ 06.12.1979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21497" o:spid="_x0000_s1026" type="#_x0000_t202" style="position:absolute;left:0;text-align:left;margin-left:95.3pt;margin-top:649.65pt;width:374.6pt;height:92.85pt;z-index:3;mso-position-horizontal-relative:page;mso-position-vertical-relative:page" stroked="f">
            <v:textbox style="mso-next-textbox:#_x0000_s21497" inset="0,0,0,0">
              <w:txbxContent>
                <w:p w:rsidR="00CB019C" w:rsidRDefault="00CB019C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ז' בכסלו תש"ם (7* בנובמבר 1979); הצעת החוק ודברי הסבר פורסמו בה"ח 1417, תש"ט,</w:t>
                  </w:r>
                </w:p>
                <w:p w:rsidR="00CB019C" w:rsidRDefault="00CB019C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עמי 12.</w:t>
                  </w:r>
                </w:p>
                <w:p w:rsidR="00CB019C" w:rsidRDefault="00CB019C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1 ס''ח תשי"א, עמ' 221; תשכיב, עמ' 94; תשכ"ג, עמ' 30; תשל"ח, עמ' 204.</w:t>
                  </w:r>
                </w:p>
                <w:p w:rsidR="00CB019C" w:rsidRDefault="00CB019C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2 ס"ח תשכ"א, עמי 192; תשליט, עמי .28</w:t>
                  </w:r>
                </w:p>
                <w:p w:rsidR="00CB019C" w:rsidRPr="00EC6ABF" w:rsidRDefault="00CB019C">
                  <w:pPr>
                    <w:pStyle w:val="OCRStyle1"/>
                    <w:ind w:left="4032"/>
                  </w:pPr>
                  <w:r>
                    <w:rPr>
                      <w:rtl/>
                    </w:rPr>
                    <w:t>ספר החוקים 950, ט''ז בכסלו תש"ם, 6.12.1979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21498" o:spid="_x0000_s1027" type="#_x0000_t202" style="position:absolute;left:0;text-align:left;margin-left:88.55pt;margin-top:106.3pt;width:462.15pt;height:533.8pt;z-index:2;mso-position-horizontal-relative:page;mso-position-vertical-relative:page" stroked="f">
            <v:textbox style="mso-next-textbox:#_x0000_s21498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28"/>
                    <w:gridCol w:w="1432"/>
                    <w:gridCol w:w="1242"/>
                  </w:tblGrid>
                  <w:tr w:rsidR="00CB019C" w:rsidRPr="00EC6ABF">
                    <w:trPr>
                      <w:jc w:val="right"/>
                    </w:trPr>
                    <w:tc>
                      <w:tcPr>
                        <w:tcW w:w="4261" w:type="pct"/>
                        <w:gridSpan w:val="2"/>
                      </w:tcPr>
                      <w:p w:rsidR="00CB019C" w:rsidRDefault="00CB019C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4 לחוק הפיקוח על עסקי ביטוח/ תשי"א-1951  1(להלן - החוק העיקלי) -</w:t>
                        </w:r>
                      </w:p>
                      <w:p w:rsidR="00CB019C" w:rsidRDefault="00CB01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סעיפים קטנים (א) עד (ה) יסומנו (ב) עד (ו) ולפניהם יבוא:</w:t>
                        </w:r>
                      </w:p>
                      <w:p w:rsidR="00CB019C" w:rsidRDefault="00CB01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שר האוצר יקבע בצו' לכל ענף ביטוח' סכום פקדון שיש</w:t>
                        </w:r>
                      </w:p>
                      <w:p w:rsidR="00CB019C" w:rsidRDefault="00CB01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להפקיד כאמור בסעיף 2 (2); צו כאמור יכול שיהיה לכל המבטחים או</w:t>
                        </w:r>
                      </w:p>
                      <w:p w:rsidR="00CB019C" w:rsidRDefault="00CB01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לסוגי מבטחים.";</w:t>
                        </w:r>
                      </w:p>
                      <w:p w:rsidR="00CB019C" w:rsidRDefault="00CB01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(ב)' המלים "בסכום שיקבע שר האוצר' בצו שפורסם ברשו-</w:t>
                        </w:r>
                      </w:p>
                      <w:p w:rsidR="00CB019C" w:rsidRPr="00EC6ABF" w:rsidRDefault="00CB01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מות' לכל ענף ביטוח" - יימחקו,</w:t>
                        </w:r>
                      </w:p>
                    </w:tc>
                    <w:tc>
                      <w:tcPr>
                        <w:tcW w:w="739" w:type="pct"/>
                      </w:tcPr>
                      <w:p w:rsidR="00CB019C" w:rsidRPr="00EC6ABF" w:rsidRDefault="00CB01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</w:t>
                        </w:r>
                      </w:p>
                    </w:tc>
                  </w:tr>
                  <w:tr w:rsidR="00CB019C" w:rsidRPr="00EC6ABF">
                    <w:trPr>
                      <w:jc w:val="right"/>
                    </w:trPr>
                    <w:tc>
                      <w:tcPr>
                        <w:tcW w:w="4261" w:type="pct"/>
                        <w:gridSpan w:val="2"/>
                      </w:tcPr>
                      <w:p w:rsidR="00CB019C" w:rsidRPr="00EC6ABF" w:rsidRDefault="00CB01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סעיף 4א לחוק העיקרי יבוא:</w:t>
                        </w:r>
                      </w:p>
                    </w:tc>
                    <w:tc>
                      <w:tcPr>
                        <w:tcW w:w="739" w:type="pct"/>
                      </w:tcPr>
                      <w:p w:rsidR="00CB019C" w:rsidRPr="00EC6ABF" w:rsidRDefault="00CB01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4ב</w:t>
                        </w:r>
                      </w:p>
                    </w:tc>
                  </w:tr>
                  <w:tr w:rsidR="00CB019C">
                    <w:trPr>
                      <w:jc w:val="right"/>
                    </w:trPr>
                    <w:tc>
                      <w:tcPr>
                        <w:tcW w:w="3409" w:type="pct"/>
                      </w:tcPr>
                      <w:p w:rsidR="00CB019C" w:rsidRDefault="00CB01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4ב. (א) כל חוזה לביטוח חיים' בין אם נעשה במישרין עם המבטח</w:t>
                        </w:r>
                      </w:p>
                      <w:p w:rsidR="00CB019C" w:rsidRDefault="00CB01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ובין אם נעשה באמצעות קופת גמל' בנק או מוסד אתר כיוצא באלה'</w:t>
                        </w:r>
                      </w:p>
                      <w:p w:rsidR="00CB019C" w:rsidRDefault="00CB01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ילווה במסמך שבו יפורטו תנאי הביטוח העיקריים, וכן שמו ומענו של</w:t>
                        </w:r>
                      </w:p>
                      <w:p w:rsidR="00CB019C" w:rsidRDefault="00CB01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המבטח וסוגי התשלומים החלים על המבוטח בכל דרך שהיא; המסמך</w:t>
                        </w:r>
                      </w:p>
                      <w:p w:rsidR="00CB019C" w:rsidRDefault="00CB01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ייחתם כידי המבוטח או בא כוחו.</w:t>
                        </w:r>
                      </w:p>
                      <w:p w:rsidR="00CB019C" w:rsidRDefault="00CB01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נפטר המבוטח' ישלם המבטח לזכאים לפי חוזה הביטוח את</w:t>
                        </w:r>
                      </w:p>
                      <w:p w:rsidR="00CB019C" w:rsidRDefault="00CB01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הביטוח תוך חודש מהיום שבו הגישו לו דרישה לכך בצירוף ראיה</w:t>
                        </w:r>
                      </w:p>
                      <w:p w:rsidR="00CB019C" w:rsidRDefault="00CB01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לזכאותם ותעודת פטירה המציינת את סיבת המוות; המבטח רשאי לדרוש</w:t>
                        </w:r>
                      </w:p>
                      <w:p w:rsidR="00CB019C" w:rsidRDefault="00CB01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ידיעות ומסמכים נוספים ובלבד שהדבר לא ידחה את המועד לתשלום.</w:t>
                        </w:r>
                      </w:p>
                      <w:p w:rsidR="00CB019C" w:rsidRDefault="00CB01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אף האמור בסעיף קטן (ב) רשאי המבטח' אם ראה צורך</w:t>
                        </w:r>
                      </w:p>
                      <w:p w:rsidR="00CB019C" w:rsidRDefault="00CB01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בבירור נוסף' להשהות את תשלום סכום הביטוח לתקופה של לא יותר</w:t>
                        </w:r>
                      </w:p>
                      <w:p w:rsidR="00CB019C" w:rsidRDefault="00CB01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מחדשיים נוספים' או עד גמר ההליכים אם הגיש תוך התקופה האמורה</w:t>
                        </w:r>
                      </w:p>
                      <w:p w:rsidR="00CB019C" w:rsidRDefault="00CB01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תביעה לביטול חוזה הביטוח; לא הוגשה תביעה כאמור או שהתביעה</w:t>
                        </w:r>
                      </w:p>
                      <w:p w:rsidR="00CB019C" w:rsidRDefault="00CB01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בוטלה או נדחתה - יחולו הוראות אלה:</w:t>
                        </w:r>
                      </w:p>
                      <w:p w:rsidR="00CB019C" w:rsidRDefault="00CB01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שולם סכום הביטוח תוך ששה חדשים מן המועד לתש-</w:t>
                        </w:r>
                      </w:p>
                      <w:p w:rsidR="00CB019C" w:rsidRDefault="00CB01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לום כאמור בסעיף קטן (ב) (להלן - המועד לתשלום)' תיווסף</w:t>
                        </w:r>
                      </w:p>
                      <w:p w:rsidR="00CB019C" w:rsidRDefault="00CB01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אליו הריבית הקבועה לענין סעיף 4 לחוק פסיקת ריבית</w:t>
                        </w:r>
                      </w:p>
                      <w:p w:rsidR="00CB019C" w:rsidRDefault="00CB01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והצמדה' תשכ"א-1961 2, החל מן המועד לתשלום ועד ליום</w:t>
                        </w:r>
                      </w:p>
                      <w:p w:rsidR="00CB019C" w:rsidRDefault="00CB01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התשלום למעשה;</w:t>
                        </w:r>
                      </w:p>
                      <w:p w:rsidR="00CB019C" w:rsidRDefault="00CB01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שולם סכום הביטוח אחרי תום ששה חדשים מן המועד</w:t>
                        </w:r>
                      </w:p>
                      <w:p w:rsidR="00CB019C" w:rsidRDefault="00CB01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לתשלום, ייווספו אליו הפרשי הצמדה לפי שיעור העליה של</w:t>
                        </w:r>
                      </w:p>
                      <w:p w:rsidR="00CB019C" w:rsidRDefault="00CB01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מדד המחירים לצרכן מן המדד שפורסם סמוך לפני המועד</w:t>
                        </w:r>
                      </w:p>
                      <w:p w:rsidR="00CB019C" w:rsidRDefault="00CB01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לתשלום עד המדד שפורסם סמוך לפני תשלום הסכום למעשה'</w:t>
                        </w:r>
                      </w:p>
                      <w:p w:rsidR="00CB019C" w:rsidRDefault="00CB01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בצירוף ריבית לא צמודה של 3% לשנה החל מן המועד</w:t>
                        </w:r>
                      </w:p>
                      <w:p w:rsidR="00CB019C" w:rsidRDefault="00CB01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לתשלום ועד ליום התשלום למעשה."</w:t>
                        </w:r>
                      </w:p>
                    </w:tc>
                    <w:tc>
                      <w:tcPr>
                        <w:tcW w:w="852" w:type="pct"/>
                      </w:tcPr>
                      <w:p w:rsidR="00CB019C" w:rsidRDefault="00CB01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"הוראות מיוחדות</w:t>
                        </w:r>
                      </w:p>
                      <w:p w:rsidR="00CB019C" w:rsidRPr="00EC6ABF" w:rsidRDefault="00CB01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ביטוח חיים</w:t>
                        </w:r>
                      </w:p>
                    </w:tc>
                    <w:tc>
                      <w:tcPr>
                        <w:tcW w:w="739" w:type="pct"/>
                      </w:tcPr>
                      <w:p w:rsidR="00CB019C" w:rsidRDefault="00CB019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B019C" w:rsidRDefault="00CB019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1499" o:spid="_x0000_s1028" type="#_x0000_t202" style="position:absolute;left:0;text-align:left;margin-left:127.15pt;margin-top:72.85pt;width:316.8pt;height:24.15pt;z-index:1;mso-position-horizontal-relative:page;mso-position-vertical-relative:page" stroked="f">
            <v:textbox style="mso-next-textbox:#_x0000_s21499" inset="0,0,0,0">
              <w:txbxContent>
                <w:p w:rsidR="00CB019C" w:rsidRPr="00EC6ABF" w:rsidRDefault="00CB019C">
                  <w:pPr>
                    <w:pStyle w:val="OCRStyle1"/>
                    <w:ind w:left="14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הפיקוח על עסקי ביטוח (תיקון מס' 4), תש"ם-1979 .</w:t>
                  </w:r>
                </w:p>
              </w:txbxContent>
            </v:textbox>
            <w10:wrap anchorx="page" anchory="page"/>
          </v:shape>
        </w:pict>
      </w:r>
    </w:p>
    <w:p w:rsidR="00CB019C" w:rsidRDefault="00CB019C">
      <w:pPr>
        <w:rPr>
          <w:rtl/>
        </w:rPr>
      </w:pPr>
      <w:r>
        <w:rPr>
          <w:rtl/>
        </w:rPr>
        <w:br w:type="page"/>
      </w:r>
    </w:p>
    <w:p w:rsidR="00CB019C" w:rsidRDefault="00000000">
      <w:pPr>
        <w:rPr>
          <w:rtl/>
        </w:rPr>
      </w:pPr>
      <w:r>
        <w:pict>
          <v:shape id="_x0000_s21500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21500" inset="0,0,0,0">
              <w:txbxContent>
                <w:p w:rsidR="00CB019C" w:rsidRDefault="00CB019C">
                  <w:r>
                    <w:rPr>
                      <w:rtl/>
                    </w:rPr>
                    <w:t>27                                           ספר החוקים 950                  ט"ז בכסליו התש"מ 06.12.1979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21501" o:spid="_x0000_s1030" type="#_x0000_t202" style="position:absolute;left:0;text-align:left;margin-left:182.5pt;margin-top:108.8pt;width:90.5pt;height:29.3pt;z-index:8;mso-position-horizontal-relative:page;mso-position-vertical-relative:page" stroked="f">
            <v:textbox style="mso-next-textbox:#_x0000_s21501" inset="0,0,0,0">
              <w:txbxContent>
                <w:p w:rsidR="00CB019C" w:rsidRDefault="00CB019C">
                  <w:pPr>
                    <w:pStyle w:val="OCRStyle2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יגאל הורביץ</w:t>
                  </w:r>
                </w:p>
                <w:p w:rsidR="00CB019C" w:rsidRDefault="00CB019C">
                  <w:pPr>
                    <w:pStyle w:val="OCRStyle2"/>
                    <w:ind w:left="475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1502" o:spid="_x0000_s1031" type="#_x0000_t202" style="position:absolute;left:0;text-align:left;margin-left:307.4pt;margin-top:109.8pt;width:75.65pt;height:30.1pt;z-index:7;mso-position-horizontal-relative:page;mso-position-vertical-relative:page" stroked="f">
            <v:textbox style="mso-next-textbox:#_x0000_s21502" inset="0,0,0,0">
              <w:txbxContent>
                <w:p w:rsidR="00CB019C" w:rsidRDefault="00CB019C">
                  <w:pPr>
                    <w:pStyle w:val="OCRStyle2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מבחם בגין</w:t>
                  </w:r>
                </w:p>
                <w:p w:rsidR="00CB019C" w:rsidRDefault="00CB019C">
                  <w:pPr>
                    <w:pStyle w:val="OCRStyle2"/>
                    <w:ind w:left="16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503" o:spid="_x0000_s1032" type="#_x0000_t202" style="position:absolute;left:0;text-align:left;margin-left:465.8pt;margin-top:132.95pt;width:73.05pt;height:37.8pt;z-index:6;mso-position-horizontal-relative:page;mso-position-vertical-relative:page" stroked="f">
            <v:textbox style="mso-next-textbox:#_x0000_s21503" inset="0,0,0,0">
              <w:txbxContent>
                <w:p w:rsidR="00CB019C" w:rsidRDefault="00CB019C">
                  <w:pPr>
                    <w:pStyle w:val="OCRStyle2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יצחק בבון</w:t>
                  </w:r>
                </w:p>
                <w:p w:rsidR="00CB019C" w:rsidRDefault="00CB019C">
                  <w:pPr>
                    <w:pStyle w:val="OCRStyle2"/>
                    <w:ind w:left="176"/>
                  </w:pPr>
                  <w:r>
                    <w:rPr>
                      <w:rtl/>
                    </w:rPr>
                    <w:t>בשיא המריבה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504" o:spid="_x0000_s1033" type="#_x0000_t202" style="position:absolute;left:0;text-align:left;margin-left:123.1pt;margin-top:74.35pt;width:425.3pt;height:29.3pt;z-index:5;mso-position-horizontal-relative:page;mso-position-vertical-relative:page" stroked="f">
            <v:textbox style="mso-next-textbox:#_x0000_s21504" inset="0,0,0,0">
              <w:txbxContent>
                <w:tbl>
                  <w:tblPr>
                    <w:tblW w:w="442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41"/>
                    <w:gridCol w:w="6591"/>
                  </w:tblGrid>
                  <w:tr w:rsidR="00CB019C" w:rsidRPr="00CB019C">
                    <w:trPr>
                      <w:jc w:val="right"/>
                    </w:trPr>
                    <w:tc>
                      <w:tcPr>
                        <w:tcW w:w="738" w:type="pct"/>
                      </w:tcPr>
                      <w:p w:rsidR="00CB019C" w:rsidRPr="00CB019C" w:rsidRDefault="00CB019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ל/חילה</w:t>
                        </w:r>
                      </w:p>
                    </w:tc>
                    <w:tc>
                      <w:tcPr>
                        <w:tcW w:w="4262" w:type="pct"/>
                      </w:tcPr>
                      <w:p w:rsidR="00CB019C" w:rsidRPr="00CB019C" w:rsidRDefault="00CB01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תחילתו של סעיף 2 ביום י"ד בשבט תש"ם (1 בפברואר 1980).</w:t>
                        </w:r>
                      </w:p>
                    </w:tc>
                  </w:tr>
                </w:tbl>
                <w:p w:rsidR="00CB019C" w:rsidRDefault="00CB019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C6AB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C6AB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8F41BFC-11E5-412C-B17D-F66D8483D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C6ABF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CB019C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2008-04-07T00:06:00Z</dcterms:created>
  <dcterms:modified xsi:type="dcterms:W3CDTF">2008-04-07T00:06:00Z</dcterms:modified>
</cp:coreProperties>
</file>