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FF351B" w:rsidRDefault="00FF351B">
      <w:pPr>
        <w:rPr>
          <w:rtl/>
        </w:rPr>
      </w:pPr>
    </w:p>
    <w:p w:rsidR="00FF351B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1591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21591" inset="0,0,0,0">
              <w:txbxContent>
                <w:p w:rsidR="00E914AC" w:rsidRDefault="00E914AC">
                  <w:r>
                    <w:rPr>
                      <w:rtl/>
                    </w:rPr>
                    <w:t>106                                          ספר החוקים 797                י"ח באדר א' התשל"ו 19.02.1976</w:t>
                  </w:r>
                </w:p>
              </w:txbxContent>
            </v:textbox>
            <w10:wrap anchorx="page" anchory="page"/>
          </v:shape>
        </w:pict>
      </w:r>
      <w:r>
        <w:pict>
          <v:shape id="_x0000_s21592" o:spid="_x0000_s1026" type="#_x0000_t202" style="position:absolute;left:0;text-align:left;margin-left:89.35pt;margin-top:658.25pt;width:384.9pt;height:97.8pt;z-index:3;mso-position-horizontal-relative:page;mso-position-vertical-relative:page" stroked="f">
            <v:textbox style="mso-next-textbox:#_x0000_s21592" inset="0,0,0,0">
              <w:txbxContent>
                <w:p w:rsidR="00E914AC" w:rsidRDefault="00E914AC">
                  <w:pPr>
                    <w:pStyle w:val="OCRStyle1"/>
                    <w:ind w:left="144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ט' באדר א' תשל"ו (10 בפברואר 1976); הגעת החוק ודברי הסבר פורסמו בהית 1165 ובחיה</w:t>
                  </w:r>
                </w:p>
                <w:p w:rsidR="00E914AC" w:rsidRDefault="00E914AC">
                  <w:pPr>
                    <w:pStyle w:val="OCRStyle1"/>
                    <w:ind w:left="248"/>
                    <w:rPr>
                      <w:rtl/>
                    </w:rPr>
                  </w:pPr>
                  <w:r>
                    <w:rPr>
                      <w:rtl/>
                    </w:rPr>
                    <w:t>1180, תשל"ה, עמ' 167 ועמ' 279.</w:t>
                  </w:r>
                </w:p>
                <w:p w:rsidR="00E914AC" w:rsidRDefault="00E914AC">
                  <w:pPr>
                    <w:pStyle w:val="OCRStyle1"/>
                    <w:ind w:left="140"/>
                    <w:rPr>
                      <w:rtl/>
                    </w:rPr>
                  </w:pPr>
                  <w:r>
                    <w:rPr>
                      <w:rtl/>
                    </w:rPr>
                    <w:t>1 ע"ר 1936, תוס' 1, עמ' 21; ס"ח תש"ט, עמ' 23; תשי"ג, עמ' 94; תשכיח, עמ' 125; תשכ"ט, עמ' 252; תשל"ה,</w:t>
                  </w:r>
                </w:p>
                <w:p w:rsidR="00E914AC" w:rsidRDefault="00E914AC">
                  <w:pPr>
                    <w:pStyle w:val="OCRStyle1"/>
                    <w:ind w:left="252"/>
                    <w:rPr>
                      <w:rtl/>
                    </w:rPr>
                  </w:pPr>
                  <w:r>
                    <w:rPr>
                      <w:rtl/>
                    </w:rPr>
                    <w:t>עמ' .105</w:t>
                  </w:r>
                </w:p>
                <w:p w:rsidR="00E914AC" w:rsidRDefault="00E914AC">
                  <w:pPr>
                    <w:pStyle w:val="OCRStyle1"/>
                    <w:ind w:left="144"/>
                    <w:rPr>
                      <w:rtl/>
                    </w:rPr>
                  </w:pPr>
                  <w:r>
                    <w:rPr>
                      <w:rtl/>
                    </w:rPr>
                    <w:t>2 ס"ח תשכ"ז, עמ' 116; תשכ"ט, עמ' 16.</w:t>
                  </w:r>
                </w:p>
                <w:p w:rsidR="00E914AC" w:rsidRPr="00FF351B" w:rsidRDefault="00E914AC">
                  <w:pPr>
                    <w:pStyle w:val="OCRStyle1"/>
                    <w:ind w:left="2574"/>
                  </w:pPr>
                  <w:r>
                    <w:rPr>
                      <w:rtl/>
                    </w:rPr>
                    <w:t xml:space="preserve"> ספר החוקים 797, י''ח באדר א' תשל''ו, 19.2.1976</w:t>
                  </w:r>
                </w:p>
              </w:txbxContent>
            </v:textbox>
            <w10:wrap anchorx="page" anchory="page"/>
          </v:shape>
        </w:pict>
      </w:r>
      <w:r>
        <w:pict>
          <v:shape id="_x0000_s21593" o:spid="_x0000_s1027" type="#_x0000_t202" style="position:absolute;left:0;text-align:left;margin-left:82.65pt;margin-top:110.6pt;width:480.95pt;height:547.65pt;z-index:2;mso-position-horizontal-relative:page;mso-position-vertical-relative:page" stroked="f">
            <v:textbox style="mso-next-textbox:#_x0000_s21593" inset="0,0,0,0">
              <w:txbxContent>
                <w:tbl>
                  <w:tblPr>
                    <w:tblW w:w="443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377"/>
                    <w:gridCol w:w="1368"/>
                  </w:tblGrid>
                  <w:tr w:rsidR="00E914AC" w:rsidRPr="00FF351B">
                    <w:trPr>
                      <w:jc w:val="right"/>
                    </w:trPr>
                    <w:tc>
                      <w:tcPr>
                        <w:tcW w:w="4218" w:type="pct"/>
                      </w:tcPr>
                      <w:p w:rsidR="00E914AC" w:rsidRDefault="00E914AC">
                        <w:pPr>
                          <w:pStyle w:val="OCRStyle1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1. בסעיף 3(2) לפקודת פשיטת הרגל, 1930  1 (להלן - הפקודה), בסופו יבוא "ושטר</w:t>
                        </w:r>
                      </w:p>
                      <w:p w:rsidR="00E914AC" w:rsidRDefault="00E914A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חליפין, שטר חוב ושיק שהוגשו לביצוע ללשכת הוצאה לפועל לפי סעיף 81א לחוק ההוצאה</w:t>
                        </w:r>
                      </w:p>
                      <w:p w:rsidR="00E914AC" w:rsidRDefault="00E914A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לפועל, תשכ"ז-21967, ולא הגיש החייב התנגדות לביצועם או שהתנגדותו נדחתה בפסק</w:t>
                        </w:r>
                      </w:p>
                      <w:p w:rsidR="00E914AC" w:rsidRPr="00FF351B" w:rsidRDefault="00E914A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דין או בהחלטה שאין עוד ערעור עליהם - דינם כדין פסק דין כזה".</w:t>
                        </w:r>
                      </w:p>
                    </w:tc>
                    <w:tc>
                      <w:tcPr>
                        <w:tcW w:w="782" w:type="pct"/>
                      </w:tcPr>
                      <w:p w:rsidR="00E914AC" w:rsidRPr="00FF351B" w:rsidRDefault="00E914A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3</w:t>
                        </w:r>
                      </w:p>
                    </w:tc>
                  </w:tr>
                  <w:tr w:rsidR="00E914AC" w:rsidRPr="00FF351B">
                    <w:trPr>
                      <w:jc w:val="right"/>
                    </w:trPr>
                    <w:tc>
                      <w:tcPr>
                        <w:tcW w:w="4218" w:type="pct"/>
                      </w:tcPr>
                      <w:p w:rsidR="00E914AC" w:rsidRDefault="00E914A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.  בסעיף 5 (1) (א) לפקודה, בראשו ובסופו, במקום "לחמישים לירות" יבוא "לעשרת</w:t>
                        </w:r>
                      </w:p>
                      <w:p w:rsidR="00E914AC" w:rsidRDefault="00E914A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אלפים לירות".</w:t>
                        </w:r>
                      </w:p>
                    </w:tc>
                    <w:tc>
                      <w:tcPr>
                        <w:tcW w:w="782" w:type="pct"/>
                      </w:tcPr>
                      <w:p w:rsidR="00E914AC" w:rsidRPr="00FF351B" w:rsidRDefault="00E914A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6</w:t>
                        </w:r>
                      </w:p>
                    </w:tc>
                  </w:tr>
                  <w:tr w:rsidR="00E914AC" w:rsidRPr="00FF351B">
                    <w:trPr>
                      <w:jc w:val="right"/>
                    </w:trPr>
                    <w:tc>
                      <w:tcPr>
                        <w:tcW w:w="4218" w:type="pct"/>
                      </w:tcPr>
                      <w:p w:rsidR="00E914AC" w:rsidRDefault="00E914A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 .כסעיף 7 לפקודה, במקום סעיף קטן (1) יבוא:</w:t>
                        </w:r>
                      </w:p>
                      <w:p w:rsidR="00E914AC" w:rsidRDefault="00E914A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"(1) לא יהיה חייב זכאי להגיש בקשת פשיטת רגל, אלא אם</w:t>
                        </w:r>
                      </w:p>
                      <w:p w:rsidR="00E914AC" w:rsidRDefault="00E914A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נתקיימו אלה:</w:t>
                        </w:r>
                      </w:p>
                      <w:p w:rsidR="00E914AC" w:rsidRDefault="00E914A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חובותיו עולים לעשרת אלפים לירות:</w:t>
                        </w:r>
                      </w:p>
                      <w:p w:rsidR="00E914AC" w:rsidRDefault="00E914A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מספר נושיו הוא לפחות שנים:</w:t>
                        </w:r>
                      </w:p>
                      <w:p w:rsidR="00E914AC" w:rsidRDefault="00E914A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צירף לבקשתו דין וחשבון על חובותיו ונכסיו לפי</w:t>
                        </w:r>
                      </w:p>
                      <w:p w:rsidR="00E914AC" w:rsidRDefault="00E914A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הטופס שנקבע בתקנות;</w:t>
                        </w:r>
                      </w:p>
                      <w:p w:rsidR="00E914AC" w:rsidRDefault="00E914A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ולא יתן בית המשפט צו קבלת נכסים לפי בקשת החייב, אלא אם שוכנע</w:t>
                        </w:r>
                      </w:p>
                      <w:p w:rsidR="00E914AC" w:rsidRDefault="00E914A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כי בשים לב להליכי הוצאה לפועל שננקטו או שעדיין ניתן לנקוט נגד</w:t>
                        </w:r>
                      </w:p>
                      <w:p w:rsidR="00E914AC" w:rsidRDefault="00E914A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החייב ובשים לב לשאר נסיבות הענין, הליכי פשיטת רגל הם הדרך</w:t>
                        </w:r>
                      </w:p>
                      <w:p w:rsidR="00E914AC" w:rsidRPr="00FF351B" w:rsidRDefault="00E914A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הנאותה."</w:t>
                        </w:r>
                      </w:p>
                    </w:tc>
                    <w:tc>
                      <w:tcPr>
                        <w:tcW w:w="782" w:type="pct"/>
                      </w:tcPr>
                      <w:p w:rsidR="00E914AC" w:rsidRPr="00FF351B" w:rsidRDefault="00E914A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7</w:t>
                        </w:r>
                      </w:p>
                    </w:tc>
                  </w:tr>
                  <w:tr w:rsidR="00E914AC" w:rsidRPr="00FF351B">
                    <w:trPr>
                      <w:jc w:val="right"/>
                    </w:trPr>
                    <w:tc>
                      <w:tcPr>
                        <w:tcW w:w="4218" w:type="pct"/>
                      </w:tcPr>
                      <w:p w:rsidR="00E914AC" w:rsidRDefault="00E914A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 .בסעיף 14 לפקודה, בסופו יבוא:</w:t>
                        </w:r>
                      </w:p>
                      <w:p w:rsidR="00E914AC" w:rsidRDefault="00E914A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"(5) כונס הנכסים הרשמי רשאי לפטור את החייב מהגשת דין</w:t>
                        </w:r>
                      </w:p>
                      <w:p w:rsidR="00E914AC" w:rsidRDefault="00E914A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וחשבון לפי סעיף זה, אם ראה שהדין וחשבון שהגיש החייב לפי סעיף</w:t>
                        </w:r>
                      </w:p>
                      <w:p w:rsidR="00E914AC" w:rsidRPr="00FF351B" w:rsidRDefault="00E914A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 (1) (ג) כולל את המידע הדרוש לניהול תקין של פשיטת הרגל,"</w:t>
                        </w:r>
                      </w:p>
                    </w:tc>
                    <w:tc>
                      <w:tcPr>
                        <w:tcW w:w="782" w:type="pct"/>
                      </w:tcPr>
                      <w:p w:rsidR="00E914AC" w:rsidRPr="00FF351B" w:rsidRDefault="00E914A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14</w:t>
                        </w:r>
                      </w:p>
                    </w:tc>
                  </w:tr>
                  <w:tr w:rsidR="00E914AC" w:rsidRPr="00FF351B">
                    <w:trPr>
                      <w:jc w:val="right"/>
                    </w:trPr>
                    <w:tc>
                      <w:tcPr>
                        <w:tcW w:w="4218" w:type="pct"/>
                      </w:tcPr>
                      <w:p w:rsidR="00E914AC" w:rsidRDefault="00E914A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 .בסעיף 29 לפקודה, אחרי סעיף קטן (1) יבוא:</w:t>
                        </w:r>
                      </w:p>
                      <w:p w:rsidR="00E914AC" w:rsidRDefault="00E914A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"(1א) בית המשפט רשאי לבטל את ההכרזה גם אם לדעתו אין</w:t>
                        </w:r>
                      </w:p>
                      <w:p w:rsidR="00E914AC" w:rsidRDefault="00E914A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בהמשך ניהול פשיטת הרגל כדי להביא תועלת לנושים, ואולם ביטול</w:t>
                        </w:r>
                      </w:p>
                      <w:p w:rsidR="00E914AC" w:rsidRDefault="00E914A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ההכרזה מסיבה זו אין בה כדי להסיר מפושט הרגל פסלות על פי דין</w:t>
                        </w:r>
                      </w:p>
                      <w:p w:rsidR="00E914AC" w:rsidRPr="00FF351B" w:rsidRDefault="00E914A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הנובעת מן ההכרזה, אלא אם החליט בית המשפט להסיר את הפסלות."</w:t>
                        </w:r>
                      </w:p>
                    </w:tc>
                    <w:tc>
                      <w:tcPr>
                        <w:tcW w:w="782" w:type="pct"/>
                      </w:tcPr>
                      <w:p w:rsidR="00E914AC" w:rsidRPr="00FF351B" w:rsidRDefault="00E914A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29</w:t>
                        </w:r>
                      </w:p>
                    </w:tc>
                  </w:tr>
                  <w:tr w:rsidR="00E914AC" w:rsidRPr="00FF351B">
                    <w:trPr>
                      <w:jc w:val="right"/>
                    </w:trPr>
                    <w:tc>
                      <w:tcPr>
                        <w:tcW w:w="4218" w:type="pct"/>
                      </w:tcPr>
                      <w:p w:rsidR="00E914AC" w:rsidRDefault="00E914A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 .בסעיף 30 (1) לפקודה, אחרי "שלא מתוך חוזה או הבטחה" יבוא "ודרישת מזונות</w:t>
                        </w:r>
                      </w:p>
                      <w:p w:rsidR="00E914AC" w:rsidRPr="00FF351B" w:rsidRDefault="00E914A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המגיעים על פי פסק דין וזמן פרעונם חל אחרי מתן הצו לקבלת נכסים."</w:t>
                        </w:r>
                      </w:p>
                    </w:tc>
                    <w:tc>
                      <w:tcPr>
                        <w:tcW w:w="782" w:type="pct"/>
                      </w:tcPr>
                      <w:p w:rsidR="00E914AC" w:rsidRPr="00FF351B" w:rsidRDefault="00E914A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30</w:t>
                        </w:r>
                      </w:p>
                    </w:tc>
                  </w:tr>
                </w:tbl>
                <w:p w:rsidR="00E914AC" w:rsidRDefault="00E914AC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1594" o:spid="_x0000_s1028" type="#_x0000_t202" style="position:absolute;left:0;text-align:left;margin-left:125.2pt;margin-top:84.25pt;width:328.1pt;height:25.35pt;z-index:1;mso-position-horizontal-relative:page;mso-position-vertical-relative:page" stroked="f">
            <v:textbox style="mso-next-textbox:#_x0000_s21594" inset="0,0,0,0">
              <w:txbxContent>
                <w:p w:rsidR="00E914AC" w:rsidRPr="00FF351B" w:rsidRDefault="00E914AC">
                  <w:pPr>
                    <w:pStyle w:val="OCRStyle1"/>
                    <w:ind w:left="173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לתיקון פקודת פשיטת הרגל (מס' 6), תשל"ו-1976 *</w:t>
                  </w:r>
                </w:p>
              </w:txbxContent>
            </v:textbox>
            <w10:wrap anchorx="page" anchory="page"/>
          </v:shape>
        </w:pict>
      </w:r>
    </w:p>
    <w:p w:rsidR="002F7E5E" w:rsidRDefault="002F7E5E">
      <w:pPr>
        <w:rPr>
          <w:rtl/>
        </w:rPr>
      </w:pPr>
      <w:r>
        <w:rPr>
          <w:rtl/>
        </w:rPr>
        <w:br w:type="page"/>
      </w:r>
    </w:p>
    <w:p w:rsidR="002F7E5E" w:rsidRDefault="00000000">
      <w:pPr>
        <w:rPr>
          <w:rtl/>
        </w:rPr>
      </w:pPr>
      <w:r>
        <w:pict>
          <v:shape id="_x0000_s21595" o:spid="_x0000_s1029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21595" inset="0,0,0,0">
              <w:txbxContent>
                <w:p w:rsidR="00E914AC" w:rsidRDefault="00E914AC">
                  <w:r>
                    <w:rPr>
                      <w:rtl/>
                    </w:rPr>
                    <w:t>107                                          ספר החוקים 797                י"ח באדר א' התשל"ו 19.02.1976</w:t>
                  </w:r>
                </w:p>
              </w:txbxContent>
            </v:textbox>
            <w10:wrap anchorx="page" anchory="page"/>
          </v:shape>
        </w:pict>
      </w:r>
      <w:r>
        <w:pict>
          <v:shape id="_x0000_s21596" o:spid="_x0000_s1030" type="#_x0000_t202" style="position:absolute;left:0;text-align:left;margin-left:377.2pt;margin-top:723.8pt;width:173.65pt;height:36.25pt;z-index:9;mso-position-horizontal-relative:page;mso-position-vertical-relative:page" stroked="f">
            <v:textbox style="mso-next-textbox:#_x0000_s21596" inset="0,0,0,0">
              <w:txbxContent>
                <w:p w:rsidR="00E914AC" w:rsidRDefault="00E914AC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21597" o:spid="_x0000_s1031" type="#_x0000_t202" style="position:absolute;left:0;text-align:left;margin-left:176.6pt;margin-top:268.8pt;width:107.1pt;height:42.15pt;z-index:8;mso-position-horizontal-relative:page;mso-position-vertical-relative:page" stroked="f">
            <v:textbox style="mso-next-textbox:#_x0000_s21597" inset="0,0,0,0">
              <w:txbxContent>
                <w:p w:rsidR="00E914AC" w:rsidRDefault="00E914AC">
                  <w:pPr>
                    <w:pStyle w:val="OCRStyle2"/>
                    <w:ind w:left="241"/>
                    <w:rPr>
                      <w:rtl/>
                    </w:rPr>
                  </w:pPr>
                  <w:r>
                    <w:rPr>
                      <w:rtl/>
                    </w:rPr>
                    <w:t>חיים י' צדוק ו</w:t>
                  </w:r>
                </w:p>
                <w:p w:rsidR="00E914AC" w:rsidRPr="002F7E5E" w:rsidRDefault="00E914AC">
                  <w:pPr>
                    <w:pStyle w:val="OCRStyle2"/>
                    <w:ind w:left="439"/>
                  </w:pPr>
                  <w:r>
                    <w:rPr>
                      <w:rtl/>
                    </w:rPr>
                    <w:t>שר המשפטים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21598" o:spid="_x0000_s1032" type="#_x0000_t202" style="position:absolute;left:0;text-align:left;margin-left:308.9pt;margin-top:273.95pt;width:83.55pt;height:41.2pt;z-index:7;mso-position-horizontal-relative:page;mso-position-vertical-relative:page" stroked="f">
            <v:textbox style="mso-next-textbox:#_x0000_s21598" inset="0,0,0,0">
              <w:txbxContent>
                <w:p w:rsidR="00E914AC" w:rsidRDefault="00E914AC">
                  <w:pPr>
                    <w:pStyle w:val="OCRStyle2"/>
                    <w:ind w:left="180"/>
                    <w:rPr>
                      <w:rtl/>
                    </w:rPr>
                  </w:pPr>
                  <w:r>
                    <w:rPr>
                      <w:rtl/>
                    </w:rPr>
                    <w:t>יצחק רבין</w:t>
                  </w:r>
                </w:p>
                <w:p w:rsidR="00E914AC" w:rsidRDefault="00E914AC">
                  <w:pPr>
                    <w:pStyle w:val="OCRStyle2"/>
                    <w:ind w:left="212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1599" o:spid="_x0000_s1033" type="#_x0000_t202" style="position:absolute;left:0;text-align:left;margin-left:458.95pt;margin-top:298.3pt;width:87.5pt;height:48.1pt;z-index:6;mso-position-horizontal-relative:page;mso-position-vertical-relative:page" stroked="f">
            <v:textbox style="mso-next-textbox:#_x0000_s21599" inset="0,0,0,0">
              <w:txbxContent>
                <w:p w:rsidR="00E914AC" w:rsidRDefault="00E914AC">
                  <w:pPr>
                    <w:pStyle w:val="OCRStyle2"/>
                    <w:ind w:left="115"/>
                    <w:rPr>
                      <w:rtl/>
                    </w:rPr>
                  </w:pPr>
                  <w:r>
                    <w:rPr>
                      <w:rtl/>
                    </w:rPr>
                    <w:t>אפרים קציר</w:t>
                  </w:r>
                </w:p>
                <w:p w:rsidR="00E914AC" w:rsidRDefault="00E914AC">
                  <w:pPr>
                    <w:pStyle w:val="OCRStyle2"/>
                    <w:ind w:left="263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1600" o:spid="_x0000_s1034" type="#_x0000_t202" style="position:absolute;left:0;text-align:left;margin-left:79.8pt;margin-top:80.1pt;width:470.05pt;height:182.75pt;z-index:5;mso-position-horizontal-relative:page;mso-position-vertical-relative:page" stroked="f">
            <v:textbox style="mso-next-textbox:#_x0000_s21600" inset="0,0,0,0">
              <w:txbxContent>
                <w:tbl>
                  <w:tblPr>
                    <w:tblW w:w="44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549"/>
                    <w:gridCol w:w="5709"/>
                    <w:gridCol w:w="1289"/>
                  </w:tblGrid>
                  <w:tr w:rsidR="00E914AC">
                    <w:trPr>
                      <w:jc w:val="right"/>
                    </w:trPr>
                    <w:tc>
                      <w:tcPr>
                        <w:tcW w:w="906" w:type="pct"/>
                      </w:tcPr>
                      <w:p w:rsidR="00E914AC" w:rsidRPr="002F7E5E" w:rsidRDefault="00E914AC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 סעיף 55א</w:t>
                        </w:r>
                      </w:p>
                    </w:tc>
                    <w:tc>
                      <w:tcPr>
                        <w:tcW w:w="4094" w:type="pct"/>
                        <w:gridSpan w:val="2"/>
                      </w:tcPr>
                      <w:p w:rsidR="00E914AC" w:rsidRDefault="00E914A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. אחרי סעיף 55 לפקודה יבוא; </w:t>
                        </w:r>
                      </w:p>
                    </w:tc>
                  </w:tr>
                  <w:tr w:rsidR="00E914AC" w:rsidRPr="002F7E5E">
                    <w:trPr>
                      <w:jc w:val="right"/>
                    </w:trPr>
                    <w:tc>
                      <w:tcPr>
                        <w:tcW w:w="906" w:type="pct"/>
                      </w:tcPr>
                      <w:p w:rsidR="00E914AC" w:rsidRDefault="00E914AC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40" w:type="pct"/>
                      </w:tcPr>
                      <w:p w:rsidR="00E914AC" w:rsidRDefault="00E914A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55א. (א) לפי בקשתו של אדם שמגיעים לו מפושט הרגל על פי פסק</w:t>
                        </w:r>
                      </w:p>
                      <w:p w:rsidR="00E914AC" w:rsidRDefault="00E914A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דין מזונות שזמן פרעונם חל אחרי מתן הצו לקבלת נכסים, רשאי בית</w:t>
                        </w:r>
                      </w:p>
                      <w:p w:rsidR="00E914AC" w:rsidRDefault="00E914A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המשפט להקציב לאותו אדם מזמן לזמן מתוך נכסי פושט הרגל או מתוך</w:t>
                        </w:r>
                      </w:p>
                      <w:p w:rsidR="00E914AC" w:rsidRDefault="00E914A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הכנסותיו סכומי כסף שימצא לנכון.</w:t>
                        </w:r>
                      </w:p>
                      <w:p w:rsidR="00E914AC" w:rsidRDefault="00E914A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הקצבה לפי סעיף קטן (א), דינה כדין תשלום על פי פסק</w:t>
                        </w:r>
                      </w:p>
                      <w:p w:rsidR="00E914AC" w:rsidRDefault="00E914A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הדין.</w:t>
                        </w:r>
                      </w:p>
                      <w:p w:rsidR="00E914AC" w:rsidRDefault="00E914A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הוראות סעיף זה יחולו על אף האמור בסעיף 49".</w:t>
                        </w:r>
                      </w:p>
                    </w:tc>
                    <w:tc>
                      <w:tcPr>
                        <w:tcW w:w="754" w:type="pct"/>
                      </w:tcPr>
                      <w:p w:rsidR="00E914AC" w:rsidRDefault="00E914A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"הקצבה לזכאי</w:t>
                        </w:r>
                      </w:p>
                      <w:p w:rsidR="00E914AC" w:rsidRDefault="00E914AC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למזונות</w:t>
                        </w:r>
                      </w:p>
                      <w:p w:rsidR="00E914AC" w:rsidRPr="002F7E5E" w:rsidRDefault="00E914AC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</w:t>
                        </w:r>
                      </w:p>
                    </w:tc>
                  </w:tr>
                  <w:tr w:rsidR="00E914AC" w:rsidRPr="002F7E5E">
                    <w:trPr>
                      <w:jc w:val="right"/>
                    </w:trPr>
                    <w:tc>
                      <w:tcPr>
                        <w:tcW w:w="906" w:type="pct"/>
                      </w:tcPr>
                      <w:p w:rsidR="00E914AC" w:rsidRPr="002F7E5E" w:rsidRDefault="00E914AC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111</w:t>
                        </w:r>
                      </w:p>
                    </w:tc>
                    <w:tc>
                      <w:tcPr>
                        <w:tcW w:w="4094" w:type="pct"/>
                        <w:gridSpan w:val="2"/>
                      </w:tcPr>
                      <w:p w:rsidR="00E914AC" w:rsidRDefault="00E914AC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י ו</w:t>
                        </w:r>
                      </w:p>
                      <w:p w:rsidR="00E914AC" w:rsidRPr="002F7E5E" w:rsidRDefault="00E914A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 8. בסעיף 111 (2) לפקודה, במקום "חמישים לירות" יבוא "עשרת אלפים לירות".</w:t>
                        </w:r>
                      </w:p>
                    </w:tc>
                  </w:tr>
                </w:tbl>
                <w:p w:rsidR="00E914AC" w:rsidRDefault="00E914AC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E914AC" w:rsidRDefault="00E914AC">
      <w:pPr>
        <w:rPr>
          <w:rtl/>
        </w:rPr>
      </w:pPr>
      <w:r>
        <w:rPr>
          <w:rtl/>
        </w:rPr>
        <w:br w:type="page"/>
      </w:r>
    </w:p>
    <w:p w:rsidR="00E914AC" w:rsidRDefault="00000000">
      <w:pPr>
        <w:rPr>
          <w:rtl/>
        </w:rPr>
      </w:pPr>
      <w:r>
        <w:pict>
          <v:shape id="_x0000_s21601" o:spid="_x0000_s1035" type="#_x0000_t202" style="position:absolute;left:0;text-align:left;margin-left:50pt;margin-top:771.95pt;width:495.35pt;height:30pt;z-index:12;mso-position-horizontal-relative:page;mso-position-vertical-relative:page" stroked="f">
            <v:textbox style="mso-next-textbox:#_x0000_s21601" inset="0,0,0,0">
              <w:txbxContent>
                <w:p w:rsidR="00E914AC" w:rsidRDefault="00E914AC">
                  <w:r>
                    <w:rPr>
                      <w:rtl/>
                    </w:rPr>
                    <w:t>108                                          ספר החוקים 797                י"ח באדר א' התשל"ו 19.02.1976</w:t>
                  </w:r>
                </w:p>
              </w:txbxContent>
            </v:textbox>
            <w10:wrap anchorx="page" anchory="page"/>
          </v:shape>
        </w:pict>
      </w:r>
      <w:r>
        <w:pict>
          <v:shape id="_x0000_s21602" o:spid="_x0000_s1036" type="#_x0000_t202" style="position:absolute;left:0;text-align:left;margin-left:85.9pt;margin-top:715.8pt;width:142.75pt;height:36.05pt;z-index:11;mso-position-horizontal-relative:page;mso-position-vertical-relative:page" stroked="f">
            <v:textbox style="mso-next-textbox:#_x0000_s21602" inset="0,0,0,0">
              <w:txbxContent>
                <w:p w:rsidR="00E914AC" w:rsidRDefault="00E914AC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FF351B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F351B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84EF6BEC-D950-457D-80F5-06CB8D022C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FF351B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2F7E5E"/>
    <w:rPr>
      <w:rFonts w:ascii="Arial" w:hAnsi="Arial" w:cs="Arial"/>
      <w:sz w:val="20"/>
      <w:szCs w:val="20"/>
    </w:rPr>
  </w:style>
  <w:style w:type="paragraph" w:customStyle="1" w:styleId="OCRStyle3">
    <w:name w:val="OCR Style #3"/>
    <w:basedOn w:val="a"/>
    <w:rsid w:val="00E914AC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</Words>
  <Characters>18</Characters>
  <Application>Microsoft Office Word</Application>
  <DocSecurity>4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4</cp:revision>
  <dcterms:created xsi:type="dcterms:W3CDTF">2008-04-06T22:37:00Z</dcterms:created>
  <dcterms:modified xsi:type="dcterms:W3CDTF">2008-04-06T22:38:00Z</dcterms:modified>
</cp:coreProperties>
</file>