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3B32" w:rsidRDefault="00D03B32">
      <w:pPr>
        <w:rPr>
          <w:rtl/>
        </w:rPr>
      </w:pPr>
    </w:p>
    <w:p w:rsidR="00D03B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617" inset="0,0,0,0">
              <w:txbxContent>
                <w:p w:rsidR="007B1A57" w:rsidRDefault="007B1A57">
                  <w:r>
                    <w:rPr>
                      <w:rtl/>
                    </w:rPr>
                    <w:t>94                                           ספר החוקים 124                 כ"ב בסיוון התשי"ג 05.06.1953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8" o:spid="_x0000_s1026" type="#_x0000_t202" style="position:absolute;left:0;text-align:left;margin-left:68.85pt;margin-top:694.4pt;width:414.2pt;height:112.65pt;z-index:3;mso-position-horizontal-relative:page;mso-position-vertical-relative:page" stroked="f">
            <v:textbox style="mso-next-textbox:#_x0000_s21618" inset="0,0,0,0">
              <w:txbxContent>
                <w:p w:rsidR="007B1A57" w:rsidRDefault="007B1A57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י''ב בסיון תשי"ג (26 במאי 1953); הצעת החוק ודברי הסבר נתפרסמו</w:t>
                  </w:r>
                </w:p>
                <w:p w:rsidR="007B1A57" w:rsidRDefault="007B1A57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141 מיום ו' בכסלו תשי"ג (24.11.52), עט' 30.</w:t>
                  </w:r>
                </w:p>
                <w:p w:rsidR="007B1A57" w:rsidRDefault="007B1A5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י"ב בסיון תשי"נ (26 במאי 1953); הצעת החוק ודברי הסבר נתפרסמו</w:t>
                  </w:r>
                </w:p>
                <w:p w:rsidR="007B1A57" w:rsidRDefault="007B1A57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154 מיום ט' באדר תשי"ג (24.2.53), עט' 125.</w:t>
                  </w:r>
                </w:p>
                <w:p w:rsidR="007B1A57" w:rsidRPr="00D03B32" w:rsidRDefault="007B1A57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566 מיום 24.1.36, תוס' 1, עט' 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19" o:spid="_x0000_s1027" type="#_x0000_t202" style="position:absolute;left:0;text-align:left;margin-left:74.4pt;margin-top:442.75pt;width:499.55pt;height:246.1pt;z-index:2;mso-position-horizontal-relative:page;mso-position-vertical-relative:page" stroked="f">
            <v:textbox style="mso-next-textbox:#_x0000_s2161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0"/>
                    <w:gridCol w:w="1393"/>
                  </w:tblGrid>
                  <w:tr w:rsidR="007B1A57" w:rsidRPr="00D03B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7B1A57" w:rsidRDefault="007B1A5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תהא לכל מונח המשמעות שיש לו בפקודת פשיטת הרגל, 11936 (להלן</w:t>
                        </w:r>
                      </w:p>
                      <w:p w:rsidR="007B1A57" w:rsidRPr="00D03B32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הפקודה)' וייקרא עמה כאחד, אם אין טונה אחרת משתמעת.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B1A57" w:rsidRPr="00D03B32" w:rsidRDefault="007B1A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7B1A57" w:rsidRPr="00D03B32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7B1A57" w:rsidRDefault="007B1A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סעיף 33 לפקודה יתוקן כך: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הפסקאות (ב) ו-(ג) שבסעיף קטן (1)' יבואו פסקאות אלה: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שכר או משכורת של פקיד בעד שירותים לפושט הרגל בששת החדשים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להגשת בקשת פשיטת הרגל, אף אם היו, כולם או מקצתם, דמי עמלה (להלן -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משכורת), ובלבד שסד כל הסכום שיחול עליו דין קדימה לא יעלה לכל התקופה על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-900 לירות' ולא יעלה בחשבון שום חודש של שירות על -.150 לירות, או על הסכום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עודפות -.150 לירות על חלק מן המשכורת של אותו חודש ששולם כדין לפני מתן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לקבלת הנכסים, הכל לפי הסכום הקטן יותר.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שכר עבודה של פועל בעד שירותים לפושט הרגל בששת החדשים שקדמו</w:t>
                        </w:r>
                      </w:p>
                      <w:p w:rsidR="007B1A57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בקשת פשיטת הרגל, בין שהוא שכר שעה ובין שהוא שכר קבלנות (להלן - שכר),</w:t>
                        </w:r>
                      </w:p>
                      <w:p w:rsidR="007B1A57" w:rsidRPr="00D03B32" w:rsidRDefault="007B1A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שסד כל הסכום שיחול עליו דין קדימה לא יעלת לכל התקופה על -.900 לירות,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B1A57" w:rsidRPr="00D03B32" w:rsidRDefault="007B1A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7B1A57" w:rsidRDefault="007B1A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20" o:spid="_x0000_s1028" type="#_x0000_t202" style="position:absolute;left:0;text-align:left;margin-left:136.15pt;margin-top:416.4pt;width:303.35pt;height:21.8pt;z-index:1;mso-position-horizontal-relative:page;mso-position-vertical-relative:page" stroked="f">
            <v:textbox style="mso-next-textbox:#_x0000_s21620" inset="0,0,0,0">
              <w:txbxContent>
                <w:p w:rsidR="007B1A57" w:rsidRPr="00D03B32" w:rsidRDefault="007B1A57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פשיטת הרגל, תשי"ג-1953 **</w:t>
                  </w:r>
                </w:p>
              </w:txbxContent>
            </v:textbox>
            <w10:wrap anchorx="page" anchory="page"/>
          </v:shape>
        </w:pict>
      </w:r>
    </w:p>
    <w:p w:rsidR="007B1A57" w:rsidRDefault="007B1A57">
      <w:pPr>
        <w:rPr>
          <w:rtl/>
        </w:rPr>
      </w:pPr>
      <w:r>
        <w:rPr>
          <w:rtl/>
        </w:rPr>
        <w:br w:type="page"/>
      </w:r>
    </w:p>
    <w:p w:rsidR="007B1A57" w:rsidRDefault="00000000">
      <w:pPr>
        <w:rPr>
          <w:rtl/>
        </w:rPr>
      </w:pPr>
      <w:r>
        <w:pict>
          <v:shape id="_x0000_s2162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621" inset="0,0,0,0">
              <w:txbxContent>
                <w:p w:rsidR="007B1A57" w:rsidRDefault="007B1A57">
                  <w:r>
                    <w:rPr>
                      <w:rtl/>
                    </w:rPr>
                    <w:t>95                                           ספר החוקים 124                 כ"ב בסיוון התשי"ג 05.06.1953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2" o:spid="_x0000_s1030" type="#_x0000_t202" style="position:absolute;left:0;text-align:left;margin-left:189.9pt;margin-top:164.65pt;width:81.75pt;height:30.9pt;z-index:8;mso-position-horizontal-relative:page;mso-position-vertical-relative:page" stroked="f">
            <v:textbox style="mso-next-textbox:#_x0000_s21622" inset="0,0,0,0">
              <w:txbxContent>
                <w:p w:rsidR="007B1A57" w:rsidRDefault="007B1A57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7B1A57" w:rsidRDefault="007B1A57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3" o:spid="_x0000_s1031" type="#_x0000_t202" style="position:absolute;left:0;text-align:left;margin-left:328.9pt;margin-top:166.65pt;width:102.55pt;height:33.45pt;z-index:7;mso-position-horizontal-relative:page;mso-position-vertical-relative:page" stroked="f">
            <v:textbox style="mso-next-textbox:#_x0000_s21623" inset="0,0,0,0">
              <w:txbxContent>
                <w:p w:rsidR="007B1A57" w:rsidRDefault="007B1A57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1A57" w:rsidRDefault="007B1A57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4" o:spid="_x0000_s1032" type="#_x0000_t202" style="position:absolute;left:0;text-align:left;margin-left:455pt;margin-top:199.3pt;width:91.85pt;height:28.1pt;z-index:6;mso-position-horizontal-relative:page;mso-position-vertical-relative:page" stroked="f">
            <v:textbox style="mso-next-textbox:#_x0000_s21624" inset="0,0,0,0">
              <w:txbxContent>
                <w:p w:rsidR="007B1A57" w:rsidRDefault="007B1A57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B1A57" w:rsidRDefault="007B1A57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25" o:spid="_x0000_s1033" type="#_x0000_t202" style="position:absolute;left:0;text-align:left;margin-left:120pt;margin-top:62.1pt;width:452.25pt;height:102.55pt;z-index:5;mso-position-horizontal-relative:page;mso-position-vertical-relative:page" stroked="f">
            <v:textbox style="mso-next-textbox:#_x0000_s216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"/>
                    <w:gridCol w:w="7535"/>
                  </w:tblGrid>
                  <w:tr w:rsidR="007B1A57">
                    <w:trPr>
                      <w:jc w:val="right"/>
                    </w:trPr>
                    <w:tc>
                      <w:tcPr>
                        <w:tcW w:w="418" w:type="pct"/>
                      </w:tcPr>
                      <w:p w:rsidR="007B1A57" w:rsidRDefault="007B1A5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82" w:type="pct"/>
                      </w:tcPr>
                      <w:p w:rsidR="007B1A57" w:rsidRDefault="007B1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יעלה בחשבון שום חודש של שירות על -.150 לירות, או על הסכום שבו עודפות</w:t>
                        </w:r>
                      </w:p>
                      <w:p w:rsidR="007B1A57" w:rsidRDefault="007B1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-.150 לירות על חלק מן השכר של אותו חודש ששולם כדין לפני מתן הצו לקבלת</w:t>
                        </w:r>
                      </w:p>
                      <w:p w:rsidR="007B1A57" w:rsidRDefault="007B1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הנכסים, הכל לפי הסכום הקטן יותר."</w:t>
                        </w:r>
                      </w:p>
                    </w:tc>
                  </w:tr>
                  <w:tr w:rsidR="007B1A57" w:rsidRPr="007B1A57">
                    <w:trPr>
                      <w:jc w:val="right"/>
                    </w:trPr>
                    <w:tc>
                      <w:tcPr>
                        <w:tcW w:w="418" w:type="pct"/>
                      </w:tcPr>
                      <w:p w:rsidR="007B1A57" w:rsidRPr="007B1A57" w:rsidRDefault="007B1A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582" w:type="pct"/>
                      </w:tcPr>
                      <w:p w:rsidR="007B1A57" w:rsidRDefault="007B1A5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זה לא יחול על פשיטת רגל כשהצו לקבלת הנכסים ניתן לפני תחילת תקפו</w:t>
                        </w:r>
                      </w:p>
                      <w:p w:rsidR="007B1A57" w:rsidRPr="007B1A57" w:rsidRDefault="007B1A5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החוק.</w:t>
                        </w:r>
                      </w:p>
                    </w:tc>
                  </w:tr>
                </w:tbl>
                <w:p w:rsidR="007B1A57" w:rsidRDefault="007B1A5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03B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0D8962-7D22-4FFD-9FB1-6490024A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3B3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B1A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2008-04-06T18:26:00Z</dcterms:created>
  <dcterms:modified xsi:type="dcterms:W3CDTF">2008-04-06T18:26:00Z</dcterms:modified>
</cp:coreProperties>
</file>