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1DC9" w:rsidRDefault="00C51DC9">
      <w:pPr>
        <w:rPr>
          <w:rtl/>
        </w:rPr>
      </w:pPr>
    </w:p>
    <w:p w:rsidR="00C51D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681" inset="0,0,0,0">
              <w:txbxContent>
                <w:p w:rsidR="00B7638C" w:rsidRDefault="00B7638C">
                  <w:r>
                    <w:rPr>
                      <w:rtl/>
                    </w:rPr>
                    <w:t>88                                           ספר החוקים 620                   ט' בניסן התשל"א 04.04.1971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82" o:spid="_x0000_s1026" type="#_x0000_t202" style="position:absolute;left:0;text-align:left;margin-left:87.65pt;margin-top:695.95pt;width:383.9pt;height:68.7pt;z-index:3;mso-wrap-style:none;mso-position-horizontal-relative:page;mso-position-vertical-relative:page" stroked="f">
            <v:textbox style="mso-next-textbox:#_x0000_s21682" inset="0,0,0,0">
              <w:txbxContent>
                <w:p w:rsidR="00B7638C" w:rsidRDefault="00B7638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תשל"א (25 במרס 1971); מנעת החוק ודברי הסבר פורסמו בה''ח 896,</w:t>
                  </w:r>
                </w:p>
                <w:p w:rsidR="00B7638C" w:rsidRDefault="00B7638C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תש"ל, עמ' 254.</w:t>
                  </w:r>
                </w:p>
                <w:p w:rsidR="00B7638C" w:rsidRDefault="00B7638C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14, עמ' 312.</w:t>
                  </w:r>
                </w:p>
                <w:p w:rsidR="00B7638C" w:rsidRPr="00C51DC9" w:rsidRDefault="00B7638C">
                  <w:pPr>
                    <w:pStyle w:val="OCRStyle1"/>
                    <w:ind w:left="41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620, ט' בניסן תשל"א, 4.4.1971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83" o:spid="_x0000_s1027" type="#_x0000_t202" style="position:absolute;left:0;text-align:left;margin-left:88.65pt;margin-top:455.75pt;width:464.7pt;height:238.4pt;z-index:2;mso-wrap-style:none;mso-position-horizontal-relative:page;mso-position-vertical-relative:page" stroked="f">
            <v:textbox style="mso-next-textbox:#_x0000_s21683" inset="0,0,0,0">
              <w:txbxContent>
                <w:tbl>
                  <w:tblPr>
                    <w:tblW w:w="49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9"/>
                    <w:gridCol w:w="1379"/>
                  </w:tblGrid>
                  <w:tr w:rsidR="00B7638C" w:rsidRPr="00C51DC9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7638C" w:rsidRDefault="00B7638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4 לפקודת המבחן [נוסח חדש], תשכ"ט-1969 1 (להלן - הפקודה) -</w:t>
                        </w:r>
                      </w:p>
                      <w:p w:rsidR="00B7638C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"והיא לא תפחת משנה מיום מתן הצו" יבוא</w:t>
                        </w:r>
                      </w:p>
                      <w:p w:rsidR="00B7638C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"והיא לא תפחת מששה חדשים מיום מתן הצו";</w:t>
                        </w:r>
                      </w:p>
                      <w:p w:rsidR="00B7638C" w:rsidRPr="00C51DC9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7638C" w:rsidRPr="00C51DC9" w:rsidRDefault="00B763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 סעיף 4</w:t>
                        </w:r>
                      </w:p>
                    </w:tc>
                  </w:tr>
                  <w:tr w:rsidR="00B7638C" w:rsidRPr="00C51DC9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7638C" w:rsidRDefault="00B763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(2) לפקודה, במקום "כדי להבטיח את התנהגותו הטובה של הנבחן ולמנוע</w:t>
                        </w:r>
                      </w:p>
                      <w:p w:rsidR="00B7638C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מלשוב" יבוא "כדי להבטיח את שלומו הנפשי והגופני של הנבחן, את שיקומו החברתי</w:t>
                        </w:r>
                      </w:p>
                      <w:p w:rsidR="00B7638C" w:rsidRPr="00C51DC9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וחינוכו להתנהגות טובה, ולמנוע אותו מלשוב".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7638C" w:rsidRPr="00C51DC9" w:rsidRDefault="00B763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B7638C" w:rsidRPr="00C51DC9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7638C" w:rsidRDefault="00B763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לפקודה -</w:t>
                        </w:r>
                      </w:p>
                      <w:p w:rsidR="00B7638C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"ושלא תעלה על שלוש שנים מיום מתן הצו"</w:t>
                        </w:r>
                      </w:p>
                      <w:p w:rsidR="00B7638C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"ושלא תימשך מעבר לתקופת תקפו של צו המבחן";</w:t>
                        </w:r>
                      </w:p>
                      <w:p w:rsidR="00B7638C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אחדי סעיף קטן (01 יבוא:</w:t>
                        </w:r>
                      </w:p>
                      <w:p w:rsidR="00B7638C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בקביעת מקום שעל הנבחן לגור בו כאמור בסעיף קטן (א)</w:t>
                        </w:r>
                      </w:p>
                      <w:p w:rsidR="00B7638C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ובסעיף 5 (2) ובקביעת המוסד שעל הבבחן לגור בו כאמור בסעיף קטן (ב)</w:t>
                        </w:r>
                      </w:p>
                      <w:p w:rsidR="00B7638C" w:rsidRPr="00C51DC9" w:rsidRDefault="00B763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ובסעיף 22 (ב), יתחשב בית המשפט בדתו של הנבחן.'*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7638C" w:rsidRPr="00C51DC9" w:rsidRDefault="00B763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B7638C" w:rsidRDefault="00B763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84" o:spid="_x0000_s1028" type="#_x0000_t202" style="position:absolute;left:0;text-align:left;margin-left:159.9pt;margin-top:429.05pt;width:237.6pt;height:26.55pt;z-index:1;mso-wrap-style:none;mso-position-horizontal-relative:page;mso-position-vertical-relative:page" stroked="f">
            <v:textbox style="mso-next-textbox:#_x0000_s21684" inset="0,0,0,0">
              <w:txbxContent>
                <w:p w:rsidR="00B7638C" w:rsidRPr="00C51DC9" w:rsidRDefault="00B7638C">
                  <w:pPr>
                    <w:pStyle w:val="OCRStyle1"/>
                    <w:ind w:left="6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המבחן, תשל"א-1971*</w:t>
                  </w:r>
                </w:p>
              </w:txbxContent>
            </v:textbox>
            <w10:wrap anchorx="page" anchory="page"/>
          </v:shape>
        </w:pict>
      </w:r>
    </w:p>
    <w:p w:rsidR="00B7638C" w:rsidRDefault="00B7638C">
      <w:pPr>
        <w:rPr>
          <w:rtl/>
        </w:rPr>
      </w:pPr>
      <w:r>
        <w:rPr>
          <w:rtl/>
        </w:rPr>
        <w:br w:type="page"/>
      </w:r>
    </w:p>
    <w:p w:rsidR="00B7638C" w:rsidRDefault="00000000">
      <w:pPr>
        <w:rPr>
          <w:rtl/>
        </w:rPr>
      </w:pPr>
      <w:r>
        <w:pict>
          <v:shape id="_x0000_s2168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685" inset="0,0,0,0">
              <w:txbxContent>
                <w:p w:rsidR="00B7638C" w:rsidRDefault="00B7638C">
                  <w:r>
                    <w:rPr>
                      <w:rtl/>
                    </w:rPr>
                    <w:t>89                                           ספר החוקים 620                   ט' בניסן התשל"א 04.04.1971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86" o:spid="_x0000_s1030" type="#_x0000_t202" style="position:absolute;left:0;text-align:left;margin-left:402.9pt;margin-top:722.15pt;width:161.75pt;height:38pt;z-index:9;mso-wrap-style:none;mso-position-horizontal-relative:page;mso-position-vertical-relative:page" stroked="f">
            <v:textbox style="mso-next-textbox:#_x0000_s21686" inset="0,0,0,0">
              <w:txbxContent>
                <w:p w:rsidR="00B7638C" w:rsidRDefault="00B763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687" o:spid="_x0000_s1031" type="#_x0000_t202" style="position:absolute;left:0;text-align:left;margin-left:174.8pt;margin-top:637.4pt;width:106.35pt;height:56.25pt;z-index:8;mso-wrap-style:none;mso-position-horizontal-relative:page;mso-position-vertical-relative:page" stroked="f">
            <v:textbox style="mso-next-textbox:#_x0000_s21687" inset="0,0,0,0">
              <w:txbxContent>
                <w:p w:rsidR="00B7638C" w:rsidRDefault="00B7638C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מיכאל חזני</w:t>
                  </w:r>
                </w:p>
                <w:p w:rsidR="00B7638C" w:rsidRDefault="00B7638C">
                  <w:pPr>
                    <w:pStyle w:val="OCRStyle2"/>
                    <w:ind w:left="623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88" o:spid="_x0000_s1032" type="#_x0000_t202" style="position:absolute;left:0;text-align:left;margin-left:327.85pt;margin-top:640pt;width:95.05pt;height:53.65pt;z-index:7;mso-wrap-style:none;mso-position-horizontal-relative:page;mso-position-vertical-relative:page" stroked="f">
            <v:textbox style="mso-next-textbox:#_x0000_s21688" inset="0,0,0,0">
              <w:txbxContent>
                <w:p w:rsidR="00B7638C" w:rsidRDefault="00B7638C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7638C" w:rsidRDefault="00B7638C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89" o:spid="_x0000_s1033" type="#_x0000_t202" style="position:absolute;left:0;text-align:left;margin-left:441.1pt;margin-top:669.5pt;width:121.75pt;height:45.75pt;z-index:6;mso-wrap-style:none;mso-position-horizontal-relative:page;mso-position-vertical-relative:page" stroked="f">
            <v:textbox style="mso-next-textbox:#_x0000_s21689" inset="0,0,0,0">
              <w:txbxContent>
                <w:p w:rsidR="00B7638C" w:rsidRDefault="00B7638C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7638C" w:rsidRDefault="00B7638C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90" o:spid="_x0000_s1034" type="#_x0000_t202" style="position:absolute;left:0;text-align:left;margin-left:95.2pt;margin-top:79.65pt;width:472.65pt;height:549.05pt;z-index:5;mso-wrap-style:none;mso-position-horizontal-relative:page;mso-position-vertical-relative:page" stroked="f">
            <v:textbox style="mso-next-textbox:#_x0000_s21690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3"/>
                    <w:gridCol w:w="6880"/>
                  </w:tblGrid>
                  <w:tr w:rsidR="00B7638C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סעיף21</w:t>
                        </w:r>
                      </w:p>
                    </w:tc>
                    <w:tc>
                      <w:tcPr>
                        <w:tcW w:w="4036" w:type="pct"/>
                      </w:tcPr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4..בסעיף. 11 לפקודה, אחרי פסקה.(2) יבוא: 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להורות לנבחן, או להוריו - אם הוא קטין, להחזיר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את ההוצאות, כולן או מקצתן, .הכרוכות במילוי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שנקבעו בצו כדי להבטיח את שלומו הנפשי והגופני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הנבחן ואת שיקומו החברתי. ובלבד שיש לו או להי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לכך."</w:t>
                        </w:r>
                      </w:p>
                    </w:tc>
                  </w:tr>
                  <w:tr w:rsidR="00B7638C" w:rsidRPr="00B7638C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B7638C" w:rsidRP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ותיקון סעיף 12</w:t>
                        </w:r>
                      </w:p>
                    </w:tc>
                    <w:tc>
                      <w:tcPr>
                        <w:tcW w:w="4036" w:type="pct"/>
                      </w:tcPr>
                      <w:p w:rsid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12 (א) לפקודה, אחרי "חוב שבפסק דין המגיע מהנבחן" יבוא "או מהוריו,</w:t>
                        </w:r>
                      </w:p>
                      <w:p w:rsidR="00B7638C" w:rsidRP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הענין".</w:t>
                        </w:r>
                      </w:p>
                    </w:tc>
                  </w:tr>
                  <w:tr w:rsidR="00B7638C" w:rsidRPr="00B7638C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B7638C" w:rsidRP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036" w:type="pct"/>
                      </w:tcPr>
                      <w:p w:rsid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20 לפקודה, פסקאות (1) ו-(2) יסומנו (2) ו-(3) ולפניהן יבוא: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"(1) להזהיר את הנבחן בלי לפגוע כהמשך תקפו של צו</w:t>
                        </w:r>
                      </w:p>
                      <w:p w:rsidR="00B7638C" w:rsidRP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המבחן;".</w:t>
                        </w:r>
                      </w:p>
                    </w:tc>
                  </w:tr>
                  <w:tr w:rsidR="00B7638C" w:rsidRPr="00B7638C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B7638C" w:rsidRP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036" w:type="pct"/>
                      </w:tcPr>
                      <w:p w:rsid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21 לפקודה, בסופו יבוא "אך אם היה העונש מאסר על תנאי לא יפקע צו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המבחן; לא פקע הצו והנבחן לא ציית לו, רשאי בית המשפט לעשות כאמור בסעיפים ,18</w:t>
                        </w:r>
                      </w:p>
                      <w:p w:rsidR="00B7638C" w:rsidRP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ו-20 למעט פסקה (3) שבו".</w:t>
                        </w:r>
                      </w:p>
                    </w:tc>
                  </w:tr>
                  <w:tr w:rsidR="00B7638C" w:rsidRPr="00B7638C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B7638C" w:rsidRP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036" w:type="pct"/>
                      </w:tcPr>
                      <w:p w:rsid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בסעיף 22 לפקודה -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"לפי בקשת הנבחן" יבוא "או הוריו אם הוא קטין";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הסיפה המתחילה במלים "תקופה שלא תימשך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לשלוש שנים" יבוא "תקופה שלא תימשך מעבר לתקופת תקפו של צו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המבחן";</w:t>
                        </w:r>
                      </w:p>
                      <w:p w:rsidR="00B7638C" w:rsidRP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- בטל.</w:t>
                        </w:r>
                      </w:p>
                    </w:tc>
                  </w:tr>
                  <w:tr w:rsidR="00B7638C" w:rsidRPr="00B7638C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B7638C" w:rsidRP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27 י</w:t>
                        </w:r>
                      </w:p>
                    </w:tc>
                    <w:tc>
                      <w:tcPr>
                        <w:tcW w:w="4036" w:type="pct"/>
                      </w:tcPr>
                      <w:p w:rsid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27 לפקודה יבוא: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"שיירות המבחן 27. שר הסעד ימנה מבין עובדי משרד הסעד קצין מבחן ראשי למבו-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גרים וקצין מבחן ראשי לנוער לארגונו וניהולו של שירות המבחן למבו-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גרים ולנוער בהתאם לתקנות, וכן מספר מספיק של קציני מבחן שימלאו</w:t>
                        </w:r>
                      </w:p>
                      <w:p w:rsidR="00B7638C" w:rsidRP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התפקידים שנקבעו בתקנות."</w:t>
                        </w:r>
                      </w:p>
                    </w:tc>
                  </w:tr>
                  <w:tr w:rsidR="00B7638C" w:rsidRPr="00B7638C">
                    <w:trPr>
                      <w:jc w:val="right"/>
                    </w:trPr>
                    <w:tc>
                      <w:tcPr>
                        <w:tcW w:w="964" w:type="pct"/>
                      </w:tcPr>
                      <w:p w:rsidR="00B7638C" w:rsidRP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28</w:t>
                        </w:r>
                      </w:p>
                    </w:tc>
                    <w:tc>
                      <w:tcPr>
                        <w:tcW w:w="4036" w:type="pct"/>
                      </w:tcPr>
                      <w:p w:rsidR="00B7638C" w:rsidRDefault="00B763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28 לפקודה יבוא: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-ועדית מבחן  28. שר הסעד ימנה ועדות שחבריהן אישים שיראה אותם מתאימים</w:t>
                        </w:r>
                      </w:p>
                      <w:p w:rsid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לדבר; ועדות אלה ייעצו לו בכל הנוגע להעמדת עבריינים במבחן, למניעת</w:t>
                        </w:r>
                      </w:p>
                      <w:p w:rsidR="00B7638C" w:rsidRPr="00B7638C" w:rsidRDefault="00B763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עבריינות ולשיקום עבריינים, בדרך שקבע בתקנות."</w:t>
                        </w:r>
                      </w:p>
                    </w:tc>
                  </w:tr>
                </w:tbl>
                <w:p w:rsidR="00B7638C" w:rsidRDefault="00B763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1D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D6055C-7026-4BEC-B109-C1DB5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1DC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7638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2008-04-09T14:58:00Z</dcterms:created>
  <dcterms:modified xsi:type="dcterms:W3CDTF">2008-04-09T14:58:00Z</dcterms:modified>
</cp:coreProperties>
</file>