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2C14" w:rsidRDefault="00AB2C14">
      <w:pPr>
        <w:rPr>
          <w:rtl/>
        </w:rPr>
      </w:pPr>
    </w:p>
    <w:p w:rsidR="00AB2C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742" inset="0,0,0,0">
              <w:txbxContent>
                <w:p w:rsidR="00AB2C14" w:rsidRDefault="00AB2C14">
                  <w:r>
                    <w:rPr>
                      <w:rtl/>
                    </w:rPr>
                    <w:t>149                                          ספר החוקים 47                     א' בתמוז התש"י 16.06.1950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3" o:spid="_x0000_s1026" type="#_x0000_t202" style="position:absolute;left:0;text-align:left;margin-left:182.95pt;margin-top:652.2pt;width:389.45pt;height:98.2pt;z-index:7;mso-position-horizontal-relative:page;mso-position-vertical-relative:page" stroked="f">
            <v:textbox style="mso-next-textbox:#_x0000_s21743" inset="0,0,0,0">
              <w:txbxContent>
                <w:p w:rsidR="00AB2C14" w:rsidRDefault="00AB2C14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בסיון תש"י )7 ביוני 1950), הצעת החוק ודברי הסבר</w:t>
                  </w:r>
                </w:p>
                <w:p w:rsidR="00AB2C14" w:rsidRDefault="00AB2C14">
                  <w:pPr>
                    <w:pStyle w:val="OCRStyle1"/>
                    <w:ind w:left="10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38 מיום כ"ר באדר תש''י (13.3.50), עט' 130.</w:t>
                  </w:r>
                </w:p>
                <w:p w:rsidR="00AB2C14" w:rsidRPr="00AB2C14" w:rsidRDefault="00AB2C14">
                  <w:pPr>
                    <w:pStyle w:val="OCRStyle1"/>
                    <w:ind w:left="8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923 מיום 5.9.39, תוס' 1,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4" o:spid="_x0000_s1027" type="#_x0000_t202" style="position:absolute;left:0;text-align:left;margin-left:177.45pt;margin-top:575.15pt;width:103.55pt;height:41.4pt;z-index:6;mso-position-horizontal-relative:page;mso-position-vertical-relative:page" stroked="f">
            <v:textbox style="mso-next-textbox:#_x0000_s21744" inset="0,0,0,0">
              <w:txbxContent>
                <w:p w:rsidR="00AB2C14" w:rsidRDefault="00AB2C1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AB2C14" w:rsidRDefault="00AB2C14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5" o:spid="_x0000_s1028" type="#_x0000_t202" style="position:absolute;left:0;text-align:left;margin-left:301.2pt;margin-top:577.95pt;width:106.35pt;height:43.15pt;z-index:5;mso-position-horizontal-relative:page;mso-position-vertical-relative:page" stroked="f">
            <v:textbox style="mso-next-textbox:#_x0000_s21745" inset="0,0,0,0">
              <w:txbxContent>
                <w:p w:rsidR="00AB2C14" w:rsidRDefault="00AB2C1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B2C14" w:rsidRDefault="00AB2C14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6" o:spid="_x0000_s1029" type="#_x0000_t202" style="position:absolute;left:0;text-align:left;margin-left:448.7pt;margin-top:619.3pt;width:115.65pt;height:29.3pt;z-index:4;mso-position-horizontal-relative:page;mso-position-vertical-relative:page" stroked="f">
            <v:textbox style="mso-next-textbox:#_x0000_s21746" inset="0,0,0,0">
              <w:txbxContent>
                <w:p w:rsidR="00AB2C14" w:rsidRDefault="00AB2C14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AB2C14" w:rsidRDefault="00AB2C14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7" o:spid="_x0000_s1030" type="#_x0000_t202" style="position:absolute;left:0;text-align:left;margin-left:111.5pt;margin-top:169.25pt;width:460.15pt;height:399.55pt;z-index:3;mso-position-horizontal-relative:page;mso-position-vertical-relative:page" stroked="f">
            <v:textbox style="mso-next-textbox:#_x0000_s21747" inset="0,0,0,0">
              <w:txbxContent>
                <w:tbl>
                  <w:tblPr>
                    <w:tblW w:w="43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8"/>
                    <w:gridCol w:w="5177"/>
                    <w:gridCol w:w="1817"/>
                  </w:tblGrid>
                  <w:tr w:rsidR="00AB2C14" w:rsidRPr="00AB2C1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המסחר עם</w:t>
                        </w:r>
                      </w:p>
                      <w:p w:rsidR="00AB2C14" w:rsidRP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האויב, 1089</w:t>
                        </w:r>
                      </w:p>
                    </w:tc>
                    <w:tc>
                      <w:tcPr>
                        <w:tcW w:w="4269" w:type="pct"/>
                        <w:gridSpan w:val="2"/>
                      </w:tcPr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המסחר עם האויב, 1939 1 , תתוקן כך:</w:t>
                        </w:r>
                      </w:p>
                      <w:p w:rsidR="00AB2C14" w:rsidRP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9ד ייווסף סעיף זה;</w:t>
                        </w:r>
                      </w:p>
                    </w:tc>
                  </w:tr>
                  <w:tr w:rsidR="00AB2C14" w:rsidRPr="00AB2C1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9ה. (א) היו נכסים של אדם פלוני מוקנים לאפוטרופוס,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והאפוטרופוס הוציא - בין לפני שנכנס לתקפו חוק לתיקון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המסחר עם האויב, תש"י-1950, ובין אחרי זה--הוצאות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שהן בקשר עם אותם נכסים או כל חלק מהם, רשאי האפו-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טרופוס לעכב תחת ידו ולגבות מתוך כל אותם נכסים את סכום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ההוצאות' בצירוף ריבית עליו בשיעור של 6% לשנה או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נמוך יותר שייקבע על ידי שר האוצר.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הנכסים של אדם המוקנים לאפוטרופוס יהיו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משועבדים כשיעבוד ראשון כבטחון לסכום ההוצאות שהאפו-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טרופוס הוציא בקשר אתם, או בקשר עם כל חלק מהם, ולריבית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סכום, ולכל סכום המגיע לאפוטרופוס כאגרה בקשר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אותם נכסים, או בקשר עם כל חלק מהם. לשיעבוד זה יהיה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קדימה על פני כל שיעבוד אחר על אותם נכסים, בין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שהשיעבוד האחר נוצר לפני שנכנס לתקפו חוק לתיקון פקודת</w:t>
                        </w:r>
                      </w:p>
                      <w:p w:rsidR="00AB2C14" w:rsidRP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עם האויב, תש"י--1950, ובין אחרי זה".</w:t>
                        </w:r>
                      </w:p>
                    </w:tc>
                    <w:tc>
                      <w:tcPr>
                        <w:tcW w:w="1109" w:type="pct"/>
                      </w:tcPr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,,סילוק הוצאות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ובטחון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להוצאות</w:t>
                        </w:r>
                      </w:p>
                      <w:p w:rsidR="00AB2C14" w:rsidRP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ולאגרות</w:t>
                        </w:r>
                      </w:p>
                    </w:tc>
                  </w:tr>
                  <w:tr w:rsidR="00AB2C14" w:rsidRPr="00AB2C1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הקנייה מטמונה</w:t>
                        </w:r>
                      </w:p>
                      <w:p w:rsidR="00AB2C14" w:rsidRP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לממונה</w:t>
                        </w:r>
                      </w:p>
                    </w:tc>
                    <w:tc>
                      <w:tcPr>
                        <w:tcW w:w="4269" w:type="pct"/>
                        <w:gridSpan w:val="2"/>
                      </w:tcPr>
                      <w:p w:rsidR="00AB2C14" w:rsidRDefault="00AB2C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כדי למנוע ספק נאמר בזה שהדין הוא' ורואים כאילו תמיד היה הדין, כי -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אימת שאדם שנתמנה כממונה על רכוש האויב על פי פקודת המסחר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האויב, 1939 ("אפוטרופוס על רכוש האויב" בלשון הפקודה), חדל לשמש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במשרתו, מופקעים מרשותו כל הרכוש והזכויות שהיו בידו' מכוח אותה פקודה,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חדלו לשמש במשרתו;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אימת שאדם מתמנה כממונה על רכוש האויב על פי הפקודה האמורה,</w:t>
                        </w:r>
                      </w:p>
                      <w:p w:rsid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מוקנים לאותו אדם, על ידי עצם המינוי, כל הרכוש והזכויות שערב המינוי היו,</w:t>
                        </w:r>
                      </w:p>
                      <w:p w:rsidR="00AB2C14" w:rsidRPr="00AB2C14" w:rsidRDefault="00AB2C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אותה פקודה בידי מי שקדם לו במשרה זו.</w:t>
                        </w:r>
                      </w:p>
                    </w:tc>
                  </w:tr>
                </w:tbl>
                <w:p w:rsidR="00AB2C14" w:rsidRDefault="00AB2C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48" o:spid="_x0000_s1031" type="#_x0000_t202" style="position:absolute;left:0;text-align:left;margin-left:226.95pt;margin-top:146.3pt;width:293.45pt;height:21pt;z-index:2;mso-position-horizontal-relative:page;mso-position-vertical-relative:page" stroked="f">
            <v:textbox style="mso-next-textbox:#_x0000_s21748" inset="0,0,0,0">
              <w:txbxContent>
                <w:p w:rsidR="00AB2C14" w:rsidRPr="00AB2C14" w:rsidRDefault="00AB2C14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המסחר עם האויב,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9" o:spid="_x0000_s1032" type="#_x0000_t202" style="position:absolute;left:0;text-align:left;margin-left:113.3pt;margin-top:79.35pt;width:67.9pt;height:26.55pt;z-index:1;mso-position-horizontal-relative:page;mso-position-vertical-relative:page" stroked="f">
            <v:textbox style="mso-next-textbox:#_x0000_s21749" inset="0,0,0,0">
              <w:txbxContent>
                <w:p w:rsidR="00AB2C14" w:rsidRDefault="00AB2C14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B2C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0667C3-F759-4163-8E4C-2E5EEB78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2C1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