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7C85" w:rsidRDefault="00BB7C85">
      <w:pPr>
        <w:rPr>
          <w:rtl/>
        </w:rPr>
      </w:pPr>
    </w:p>
    <w:p w:rsidR="00BB7C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1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919" inset="0,0,0,0">
              <w:txbxContent>
                <w:p w:rsidR="00225F6B" w:rsidRDefault="00225F6B">
                  <w:r>
                    <w:rPr>
                      <w:rtl/>
                    </w:rPr>
                    <w:t>34                                           ספר החוקים 138                 כ"ו בכסליו התשי"ד 03.12.1953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0" o:spid="_x0000_s1026" type="#_x0000_t202" style="position:absolute;left:0;text-align:left;margin-left:71.6pt;margin-top:713.8pt;width:413.05pt;height:98pt;z-index:4;mso-position-horizontal-relative:page;mso-position-vertical-relative:page" stroked="f">
            <v:textbox style="mso-next-textbox:#_x0000_s21920" inset="0,0,0,0">
              <w:txbxContent>
                <w:p w:rsidR="00225F6B" w:rsidRDefault="00225F6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בכסלו תשי"ד (23 בנובמבר 1953) ; הצעת החוק ודברי הסבר נתפרסמו</w:t>
                  </w:r>
                </w:p>
                <w:p w:rsidR="00225F6B" w:rsidRDefault="00225F6B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168, תשי"ג, עמ' 222.</w:t>
                  </w:r>
                </w:p>
                <w:p w:rsidR="00225F6B" w:rsidRDefault="00225F6B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א/ פרק כ"ב, עט' 155; ס"ח 58, תש"י, עמ' 316.</w:t>
                  </w:r>
                </w:p>
                <w:p w:rsidR="00225F6B" w:rsidRDefault="00225F6B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1943, חוס' 1 מס' 1305, עמ' .32</w:t>
                  </w:r>
                </w:p>
                <w:p w:rsidR="00225F6B" w:rsidRPr="00BB7C85" w:rsidRDefault="00225F6B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79, תשי"א, 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1" o:spid="_x0000_s1027" type="#_x0000_t202" style="position:absolute;left:0;text-align:left;margin-left:81.1pt;margin-top:117.85pt;width:500.75pt;height:590.25pt;z-index:3;mso-position-horizontal-relative:page;mso-position-vertical-relative:page" stroked="f">
            <v:textbox style="mso-next-textbox:#_x0000_s219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8"/>
                    <w:gridCol w:w="1337"/>
                  </w:tblGrid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הקיימת" פירושו - הקרן הקיימת לישראל בע"מ ;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החדשה" פירושו - החברה שהוקמה לפי חוק זה;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"רכוש" ו"התחיבות" פירושם כמשמעותם בסעיף 119 א לפקודת החברות 1.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שר המשפטים רשאי לאשר תזכיר התאגדות ותקנות של חברה מוגבלת בערבות,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לו על ידי החברה הקיימת, לשם הקמתו של גוף מואגד בישראל להמשכת פעולות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 שנוסדה והואגדה בגולה.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תזכיר ותקנות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לאגורה בישראל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החברה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הקיימת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משאושרו התזכיר והתקנות -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יפורסמו ברשומות הודעה על האישור (להלן - ההודעה), והתזכיר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המאושר;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יועברו לרשם החברות העתק תזכיר ההתאגדות והתקנות כפי שאושרו;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פרסום ההודעה יהיה דין החברה, לרבות תזכירה ותקנותיה, כדין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שנרשמה לפי פקודת החברות וניתן לה רשיון לפי סעיף 23 (1) לפקודה.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החברה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החדשה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זכות או סמכות שניתנה בחוק לחברה הקיימת תהיה נתונה גם לחברה החדשה.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 בזכויות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112 והפסקאות השניה והשלישית לסעיף 121 (1) של פקודת החברות לא יחולו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החברה החדשה.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תחולתם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סעיפים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מפקודת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לצורך סעיף 22 לפקודת הקרקעות (רכישה לצרכי ציבור)' 1943 2, יהיה דין החברה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כדין רשות מקומית.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לפי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הקרקעות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(רכישה לצרכי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ציבור), 1943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חוק הפיקוח על עסקי ביטוח, תשי"א-1951 3, לא יחול על עסקי עזבונות בחיים של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 והחברה החדשה, אף אם יש בהם משום עסקי ביטוח,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 עזבונות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בחיים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באה החברה הקיימת לידי הסכם עם החברה החדשה בדבר מסירת כל עסקיה, רכושה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והתחיבויותיה של החברה הקיימת, או של סוג מסויים שבהם, לחברה החדשה, יחולו על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הסכם הוראות סעיף 119א לפקודת החברות, בשינויים אלה: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(א) ו-(ב) לסעיף קטן (5) וסעיף קטן (8) לא יחולו לגבי סידור זה;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הסידור לגבי סוג מסויים של עסקים, של רכוש או של התחיבויות,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הוראות סעיף קטן (7) על צו בית המשפט המאשר את הסידור, אלא ,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אותו סוג של עסקים, של רכוש או של התחיבויות.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רכוש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החברה הקיימת</w:t>
                        </w:r>
                      </w:p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סידור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העסקים</w:t>
                        </w:r>
                      </w:p>
                    </w:tc>
                  </w:tr>
                  <w:tr w:rsidR="00225F6B" w:rsidRPr="00BB7C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הוסכם על העברת רכוש מסויים של החברה הקיימת לחברה החדשה, שלא על פי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8 -</w:t>
                        </w:r>
                      </w:p>
                    </w:tc>
                    <w:tc>
                      <w:tcPr>
                        <w:tcW w:w="734" w:type="pct"/>
                      </w:tcPr>
                      <w:p w:rsidR="00225F6B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רכוש</w:t>
                        </w:r>
                      </w:p>
                      <w:p w:rsidR="00225F6B" w:rsidRPr="00BB7C85" w:rsidRDefault="00225F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בדרך אחרת</w:t>
                        </w:r>
                      </w:p>
                    </w:tc>
                  </w:tr>
                </w:tbl>
                <w:p w:rsidR="00225F6B" w:rsidRDefault="00225F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22" o:spid="_x0000_s1028" type="#_x0000_t202" style="position:absolute;left:0;text-align:left;margin-left:160.1pt;margin-top:93.1pt;width:292.25pt;height:23.75pt;z-index:2;mso-position-horizontal-relative:page;mso-position-vertical-relative:page" stroked="f">
            <v:textbox style="mso-next-textbox:#_x0000_s21922" inset="0,0,0,0">
              <w:txbxContent>
                <w:p w:rsidR="00225F6B" w:rsidRPr="00BB7C85" w:rsidRDefault="00225F6B">
                  <w:pPr>
                    <w:pStyle w:val="OCRStyle1"/>
                    <w:ind w:left="92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קרן קיימת לישראל, 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3" o:spid="_x0000_s1029" type="#_x0000_t202" style="position:absolute;left:0;text-align:left;margin-left:520.85pt;margin-top:75.85pt;width:58pt;height:18.2pt;z-index:1;mso-position-horizontal-relative:page;mso-position-vertical-relative:page" stroked="f">
            <v:textbox style="mso-next-textbox:#_x0000_s21923" inset="0,0,0,0">
              <w:txbxContent>
                <w:p w:rsidR="00225F6B" w:rsidRDefault="00225F6B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3</w:t>
                  </w:r>
                </w:p>
              </w:txbxContent>
            </v:textbox>
            <w10:wrap anchorx="page" anchory="page"/>
          </v:shape>
        </w:pict>
      </w:r>
    </w:p>
    <w:p w:rsidR="00225F6B" w:rsidRDefault="00225F6B">
      <w:pPr>
        <w:rPr>
          <w:rtl/>
        </w:rPr>
      </w:pPr>
      <w:r>
        <w:rPr>
          <w:rtl/>
        </w:rPr>
        <w:br w:type="page"/>
      </w:r>
    </w:p>
    <w:p w:rsidR="00225F6B" w:rsidRDefault="00000000">
      <w:pPr>
        <w:rPr>
          <w:rtl/>
        </w:rPr>
      </w:pPr>
      <w:r>
        <w:pict>
          <v:shape id="_x0000_s21924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924" inset="0,0,0,0">
              <w:txbxContent>
                <w:p w:rsidR="00225F6B" w:rsidRDefault="00225F6B">
                  <w:r>
                    <w:rPr>
                      <w:rtl/>
                    </w:rPr>
                    <w:t>35                                           ספר החוקים 138                 כ"ו בכסליו התשי"ד 03.12.1953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5" o:spid="_x0000_s1031" type="#_x0000_t202" style="position:absolute;left:0;text-align:left;margin-left:443.3pt;margin-top:363.55pt;width:101.4pt;height:42.55pt;z-index:9;mso-position-horizontal-relative:page;mso-position-vertical-relative:page" stroked="f">
            <v:textbox style="mso-next-textbox:#_x0000_s21925" inset="0,0,0,0">
              <w:txbxContent>
                <w:p w:rsidR="00225F6B" w:rsidRDefault="00225F6B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225F6B" w:rsidRDefault="00225F6B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6" o:spid="_x0000_s1032" type="#_x0000_t202" style="position:absolute;left:0;text-align:left;margin-left:164.7pt;margin-top:329.5pt;width:94.85pt;height:28.3pt;z-index:8;mso-position-horizontal-relative:page;mso-position-vertical-relative:page" stroked="f">
            <v:textbox style="mso-next-textbox:#_x0000_s21926" inset="0,0,0,0">
              <w:txbxContent>
                <w:p w:rsidR="00225F6B" w:rsidRDefault="00225F6B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25F6B" w:rsidRDefault="00225F6B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7" o:spid="_x0000_s1033" type="#_x0000_t202" style="position:absolute;left:0;text-align:left;margin-left:305.9pt;margin-top:320.95pt;width:126.9pt;height:37.8pt;z-index:7;mso-position-horizontal-relative:page;mso-position-vertical-relative:page" stroked="f">
            <v:textbox style="mso-next-textbox:#_x0000_s21927" inset="0,0,0,0">
              <w:txbxContent>
                <w:p w:rsidR="00225F6B" w:rsidRDefault="00225F6B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25F6B" w:rsidRDefault="00225F6B">
                  <w:pPr>
                    <w:pStyle w:val="OCRStyle2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8" o:spid="_x0000_s1034" type="#_x0000_t202" style="position:absolute;left:0;text-align:left;margin-left:84.1pt;margin-top:69.9pt;width:492.8pt;height:244.35pt;z-index:6;mso-position-horizontal-relative:page;mso-position-vertical-relative:page" stroked="f">
            <v:textbox style="mso-next-textbox:#_x0000_s2192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789"/>
                  </w:tblGrid>
                  <w:tr w:rsidR="00225F6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7" w:type="pct"/>
                      </w:tcPr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תפרסם החברה החדשה הודעה על ההסכם ברשומות, בעתון יומי אחד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ובעתון יומי אחד הנפוץ בארץ בה הואגדה החברה הקיימת;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מיום העברת הרכוש' כאמור -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יהיו החברה החדשה והחברה הקיימת אחראיות, שתיהן יחד וכל אחת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לחוד, לכל התחיבות שהיתה קיימת מצד החברה הקיימת ערב ההעברה או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היתה קיימת אותה שעה, ושאינה התחיבות שהרכוש המועבר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משועבד לה;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התחיבות שלפיה היה מוטל, ערב ההעברה, שעבוד רובץ על רכוש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הקיימת, דינה כדין התחיבות המטילה שעבוד כזה גם על רכושה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החדשה.</w:t>
                        </w:r>
                      </w:p>
                    </w:tc>
                  </w:tr>
                  <w:tr w:rsidR="00225F6B" w:rsidRPr="00225F6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225F6B" w:rsidRDefault="00225F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</w:t>
                        </w:r>
                      </w:p>
                      <w:p w:rsidR="00225F6B" w:rsidRPr="00225F6B" w:rsidRDefault="00225F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-עברה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225F6B" w:rsidRDefault="00225F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כל העברת רכוש או התחיבות' כל תיקון של רישום וכל פעולה אחרת שתיעשה עקב</w:t>
                        </w:r>
                      </w:p>
                      <w:p w:rsid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לפי סעיף 8 או לביצוע הסכם לפי סעיף 9' פטורים מכל מס' אגרה או תשלום אחר</w:t>
                        </w:r>
                      </w:p>
                      <w:p w:rsidR="00225F6B" w:rsidRPr="00225F6B" w:rsidRDefault="00225F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למדינה או לרשות מקומית.</w:t>
                        </w:r>
                      </w:p>
                    </w:tc>
                  </w:tr>
                </w:tbl>
                <w:p w:rsidR="00225F6B" w:rsidRDefault="00225F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7C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6AE8C3-7FB1-4A2F-90A7-0695FD84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7C8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25F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2008-04-06T18:37:00Z</dcterms:created>
  <dcterms:modified xsi:type="dcterms:W3CDTF">2008-04-06T18:38:00Z</dcterms:modified>
</cp:coreProperties>
</file>