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C7DD8" w:rsidRDefault="000C7DD8">
      <w:pPr>
        <w:rPr>
          <w:rtl/>
        </w:rPr>
      </w:pPr>
    </w:p>
    <w:p w:rsidR="000C7DD8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1943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21943" inset="0,0,0,0">
              <w:txbxContent>
                <w:p w:rsidR="00B928C2" w:rsidRDefault="00B928C2">
                  <w:r>
                    <w:rPr>
                      <w:rtl/>
                    </w:rPr>
                    <w:t>45                                           ספר החוקים 200                   י' בניסן התשי"ו 22.03.1956</w:t>
                  </w:r>
                </w:p>
              </w:txbxContent>
            </v:textbox>
            <w10:wrap anchorx="page" anchory="page"/>
          </v:shape>
        </w:pict>
      </w:r>
      <w:r>
        <w:pict>
          <v:shape id="_x0000_s21944" o:spid="_x0000_s1026" type="#_x0000_t202" style="position:absolute;left:0;text-align:left;margin-left:161.95pt;margin-top:715.65pt;width:413.25pt;height:72.65pt;z-index:4;mso-position-horizontal-relative:page;mso-position-vertical-relative:page" stroked="f">
            <v:textbox style="mso-next-textbox:#_x0000_s21944" inset="0,0,0,0">
              <w:txbxContent>
                <w:p w:rsidR="00B928C2" w:rsidRDefault="00B928C2">
                  <w:pPr>
                    <w:pStyle w:val="OCRStyle1"/>
                    <w:ind w:left="493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ב' בניסן תשט"ז (14 בטרם 1956) ; הצעת החוק ודברי הסבר נתפרסמו בה"ח</w:t>
                  </w:r>
                </w:p>
                <w:p w:rsidR="00B928C2" w:rsidRDefault="00B928C2">
                  <w:pPr>
                    <w:pStyle w:val="OCRStyle1"/>
                    <w:ind w:left="64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233, תשט"ו, עמי 122.</w:t>
                  </w:r>
                </w:p>
                <w:p w:rsidR="00B928C2" w:rsidRPr="000C7DD8" w:rsidRDefault="00B928C2">
                  <w:pPr>
                    <w:pStyle w:val="OCRStyle1"/>
                    <w:ind w:left="497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32, תש"י, עמ' 65.</w:t>
                  </w:r>
                </w:p>
              </w:txbxContent>
            </v:textbox>
            <w10:wrap anchorx="page" anchory="page"/>
          </v:shape>
        </w:pict>
      </w:r>
      <w:r>
        <w:pict>
          <v:shape id="_x0000_s21945" o:spid="_x0000_s1027" type="#_x0000_t202" style="position:absolute;left:0;text-align:left;margin-left:86.3pt;margin-top:615.25pt;width:494pt;height:92.45pt;z-index:3;mso-position-horizontal-relative:page;mso-position-vertical-relative:page" stroked="f">
            <v:textbox style="mso-next-textbox:#_x0000_s21945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39"/>
                    <w:gridCol w:w="7542"/>
                  </w:tblGrid>
                  <w:tr w:rsidR="00B928C2" w:rsidRPr="000C7DD8">
                    <w:trPr>
                      <w:jc w:val="right"/>
                    </w:trPr>
                    <w:tc>
                      <w:tcPr>
                        <w:tcW w:w="801" w:type="pct"/>
                      </w:tcPr>
                      <w:p w:rsidR="00B928C2" w:rsidRPr="000C7DD8" w:rsidRDefault="00B928C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</w:t>
                        </w:r>
                      </w:p>
                    </w:tc>
                    <w:tc>
                      <w:tcPr>
                        <w:tcW w:w="4199" w:type="pct"/>
                      </w:tcPr>
                      <w:p w:rsidR="00B928C2" w:rsidRDefault="00B928C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(א) חוק קרן פקדון וקרן הוזלה (תוספת יוקר)' תש"י-11950 - בטל.</w:t>
                        </w:r>
                      </w:p>
                      <w:p w:rsidR="00B928C2" w:rsidRDefault="00B928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משמעותו של כל מונח בחוק זה כמשמעות שהיתה לו בחוק האמור (להלן -</w:t>
                        </w:r>
                      </w:p>
                      <w:p w:rsidR="00B928C2" w:rsidRPr="000C7DD8" w:rsidRDefault="00B928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החוק הבטל).</w:t>
                        </w:r>
                      </w:p>
                    </w:tc>
                  </w:tr>
                  <w:tr w:rsidR="00B928C2" w:rsidRPr="000C7DD8">
                    <w:trPr>
                      <w:jc w:val="right"/>
                    </w:trPr>
                    <w:tc>
                      <w:tcPr>
                        <w:tcW w:w="801" w:type="pct"/>
                      </w:tcPr>
                      <w:p w:rsidR="00B928C2" w:rsidRDefault="00B928C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השימוש בכספי</w:t>
                        </w:r>
                      </w:p>
                      <w:p w:rsidR="00B928C2" w:rsidRPr="000C7DD8" w:rsidRDefault="00B928C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קרן ההוזלה</w:t>
                        </w:r>
                      </w:p>
                    </w:tc>
                    <w:tc>
                      <w:tcPr>
                        <w:tcW w:w="4199" w:type="pct"/>
                      </w:tcPr>
                      <w:p w:rsidR="00B928C2" w:rsidRDefault="00B928C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הכספים אשר ערב תחילתו של חוק זה נותרו בקרן ההוזלה ישמשו בידי שר האוצר</w:t>
                        </w:r>
                      </w:p>
                      <w:p w:rsidR="00B928C2" w:rsidRPr="000C7DD8" w:rsidRDefault="00B928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בשביל מתן סיוע להוזלת מצרכים ושירותים חיוניים.</w:t>
                        </w:r>
                      </w:p>
                    </w:tc>
                  </w:tr>
                </w:tbl>
                <w:p w:rsidR="00B928C2" w:rsidRDefault="00B928C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1946" o:spid="_x0000_s1028" type="#_x0000_t202" style="position:absolute;left:0;text-align:left;margin-left:101.15pt;margin-top:564pt;width:68.1pt;height:28.1pt;z-index:2;mso-position-horizontal-relative:page;mso-position-vertical-relative:page" stroked="f">
            <v:textbox style="mso-next-textbox:#_x0000_s21946" inset="0,0,0,0">
              <w:txbxContent>
                <w:p w:rsidR="00B928C2" w:rsidRDefault="00B928C2">
                  <w:pPr>
                    <w:pStyle w:val="OCRStyle1"/>
                    <w:ind w:left="151"/>
                  </w:pPr>
                  <w:r>
                    <w:rPr>
                      <w:rtl/>
                    </w:rPr>
                    <w:t>מספר 30</w:t>
                  </w:r>
                </w:p>
              </w:txbxContent>
            </v:textbox>
            <w10:wrap anchorx="page" anchory="page"/>
          </v:shape>
        </w:pict>
      </w:r>
      <w:r>
        <w:pict>
          <v:shape id="_x0000_s21947" o:spid="_x0000_s1029" type="#_x0000_t202" style="position:absolute;left:0;text-align:left;margin-left:181.95pt;margin-top:579.45pt;width:379.55pt;height:31.7pt;z-index:1;mso-position-horizontal-relative:page;mso-position-vertical-relative:page" stroked="f">
            <v:textbox style="mso-next-textbox:#_x0000_s21947" inset="0,0,0,0">
              <w:txbxContent>
                <w:p w:rsidR="00B928C2" w:rsidRPr="000C7DD8" w:rsidRDefault="00B928C2">
                  <w:pPr>
                    <w:pStyle w:val="OCRStyle1"/>
                    <w:ind w:left="94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קרן פקדון וקרן הוזלה (תוספת יוקר) (ביטול)' תשט"ז-1956 *</w:t>
                  </w:r>
                </w:p>
              </w:txbxContent>
            </v:textbox>
            <w10:wrap anchorx="page" anchory="page"/>
          </v:shape>
        </w:pict>
      </w:r>
    </w:p>
    <w:p w:rsidR="00B928C2" w:rsidRDefault="00B928C2">
      <w:pPr>
        <w:rPr>
          <w:rtl/>
        </w:rPr>
      </w:pPr>
      <w:r>
        <w:rPr>
          <w:rtl/>
        </w:rPr>
        <w:br w:type="page"/>
      </w:r>
    </w:p>
    <w:p w:rsidR="00B928C2" w:rsidRDefault="00000000">
      <w:pPr>
        <w:rPr>
          <w:rtl/>
        </w:rPr>
      </w:pPr>
      <w:r>
        <w:pict>
          <v:shape id="_x0000_s21948" o:spid="_x0000_s1030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21948" inset="0,0,0,0">
              <w:txbxContent>
                <w:p w:rsidR="00B928C2" w:rsidRDefault="00B928C2">
                  <w:r>
                    <w:rPr>
                      <w:rtl/>
                    </w:rPr>
                    <w:t>46                                           ספר החוקים 200                   י' בניסן התשי"ו 22.03.1956</w:t>
                  </w:r>
                </w:p>
              </w:txbxContent>
            </v:textbox>
            <w10:wrap anchorx="page" anchory="page"/>
          </v:shape>
        </w:pict>
      </w:r>
      <w:r>
        <w:pict>
          <v:shape id="_x0000_s21949" o:spid="_x0000_s1031" type="#_x0000_t202" style="position:absolute;left:0;text-align:left;margin-left:57.5pt;margin-top:738.3pt;width:204.35pt;height:55.45pt;z-index:12;mso-position-horizontal-relative:page;mso-position-vertical-relative:page" stroked="f">
            <v:textbox style="mso-next-textbox:#_x0000_s21949" inset="0,0,0,0">
              <w:txbxContent>
                <w:p w:rsidR="00B928C2" w:rsidRDefault="00B928C2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21950" o:spid="_x0000_s1032" type="#_x0000_t202" style="position:absolute;left:0;text-align:left;margin-left:88.2pt;margin-top:491.8pt;width:387.9pt;height:168.9pt;z-index:11;mso-position-horizontal-relative:page;mso-position-vertical-relative:page" stroked="f">
            <v:textbox style="mso-next-textbox:#_x0000_s21950" inset="0,0,0,0">
              <w:txbxContent>
                <w:tbl>
                  <w:tblPr>
                    <w:tblW w:w="441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885"/>
                    <w:gridCol w:w="2873"/>
                    <w:gridCol w:w="1295"/>
                  </w:tblGrid>
                  <w:tr w:rsidR="00B928C2" w:rsidRPr="00B928C2">
                    <w:trPr>
                      <w:jc w:val="right"/>
                    </w:trPr>
                    <w:tc>
                      <w:tcPr>
                        <w:tcW w:w="2045" w:type="pct"/>
                      </w:tcPr>
                      <w:p w:rsidR="00B928C2" w:rsidRPr="00B928C2" w:rsidRDefault="00B928C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צ"?</w:t>
                        </w:r>
                      </w:p>
                    </w:tc>
                    <w:tc>
                      <w:tcPr>
                        <w:tcW w:w="2037" w:type="pct"/>
                      </w:tcPr>
                      <w:p w:rsidR="00B928C2" w:rsidRPr="00B928C2" w:rsidRDefault="00B928C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במקום</w:t>
                        </w:r>
                      </w:p>
                    </w:tc>
                    <w:tc>
                      <w:tcPr>
                        <w:tcW w:w="919" w:type="pct"/>
                      </w:tcPr>
                      <w:p w:rsidR="00B928C2" w:rsidRPr="00B928C2" w:rsidRDefault="00B928C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בסעיף</w:t>
                        </w:r>
                      </w:p>
                    </w:tc>
                  </w:tr>
                  <w:tr w:rsidR="00B928C2">
                    <w:trPr>
                      <w:jc w:val="right"/>
                    </w:trPr>
                    <w:tc>
                      <w:tcPr>
                        <w:tcW w:w="2045" w:type="pct"/>
                      </w:tcPr>
                      <w:p w:rsidR="00B928C2" w:rsidRDefault="00B928C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להלן בחלק זה ובתוספת</w:t>
                        </w:r>
                      </w:p>
                    </w:tc>
                    <w:tc>
                      <w:tcPr>
                        <w:tcW w:w="2037" w:type="pct"/>
                      </w:tcPr>
                      <w:p w:rsidR="00B928C2" w:rsidRDefault="00B928C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להלן בחלק זה בתוספת</w:t>
                        </w:r>
                      </w:p>
                    </w:tc>
                    <w:tc>
                      <w:tcPr>
                        <w:tcW w:w="919" w:type="pct"/>
                      </w:tcPr>
                      <w:p w:rsidR="00B928C2" w:rsidRDefault="00B928C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 (2) (ג)</w:t>
                        </w:r>
                      </w:p>
                    </w:tc>
                  </w:tr>
                  <w:tr w:rsidR="00B928C2">
                    <w:trPr>
                      <w:jc w:val="right"/>
                    </w:trPr>
                    <w:tc>
                      <w:tcPr>
                        <w:tcW w:w="2045" w:type="pct"/>
                      </w:tcPr>
                      <w:p w:rsidR="00B928C2" w:rsidRDefault="00B928C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לנכי</w:t>
                        </w:r>
                      </w:p>
                    </w:tc>
                    <w:tc>
                      <w:tcPr>
                        <w:tcW w:w="2037" w:type="pct"/>
                      </w:tcPr>
                      <w:p w:rsidR="00B928C2" w:rsidRDefault="00B928C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</w:t>
                        </w:r>
                      </w:p>
                    </w:tc>
                    <w:tc>
                      <w:tcPr>
                        <w:tcW w:w="919" w:type="pct"/>
                      </w:tcPr>
                      <w:p w:rsidR="00B928C2" w:rsidRDefault="00B928C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21, בשוליים</w:t>
                        </w:r>
                      </w:p>
                    </w:tc>
                  </w:tr>
                  <w:tr w:rsidR="00B928C2">
                    <w:trPr>
                      <w:jc w:val="right"/>
                    </w:trPr>
                    <w:tc>
                      <w:tcPr>
                        <w:tcW w:w="2045" w:type="pct"/>
                      </w:tcPr>
                      <w:p w:rsidR="00B928C2" w:rsidRDefault="00B928C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גימלה</w:t>
                        </w:r>
                      </w:p>
                    </w:tc>
                    <w:tc>
                      <w:tcPr>
                        <w:tcW w:w="2037" w:type="pct"/>
                      </w:tcPr>
                      <w:p w:rsidR="00B928C2" w:rsidRDefault="00B928C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גימנה</w:t>
                        </w:r>
                      </w:p>
                    </w:tc>
                    <w:tc>
                      <w:tcPr>
                        <w:tcW w:w="919" w:type="pct"/>
                      </w:tcPr>
                      <w:p w:rsidR="00B928C2" w:rsidRDefault="00B928C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23, בשוליים</w:t>
                        </w:r>
                      </w:p>
                    </w:tc>
                  </w:tr>
                  <w:tr w:rsidR="00B928C2">
                    <w:trPr>
                      <w:jc w:val="right"/>
                    </w:trPr>
                    <w:tc>
                      <w:tcPr>
                        <w:tcW w:w="2045" w:type="pct"/>
                      </w:tcPr>
                      <w:p w:rsidR="00B928C2" w:rsidRDefault="00B928C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העודף על</w:t>
                        </w:r>
                      </w:p>
                    </w:tc>
                    <w:tc>
                      <w:tcPr>
                        <w:tcW w:w="2037" w:type="pct"/>
                      </w:tcPr>
                      <w:p w:rsidR="00B928C2" w:rsidRDefault="00B928C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העודף של</w:t>
                        </w:r>
                      </w:p>
                    </w:tc>
                    <w:tc>
                      <w:tcPr>
                        <w:tcW w:w="919" w:type="pct"/>
                      </w:tcPr>
                      <w:p w:rsidR="00B928C2" w:rsidRDefault="00B928C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 (א)</w:t>
                        </w:r>
                      </w:p>
                    </w:tc>
                  </w:tr>
                  <w:tr w:rsidR="00B928C2">
                    <w:trPr>
                      <w:jc w:val="right"/>
                    </w:trPr>
                    <w:tc>
                      <w:tcPr>
                        <w:tcW w:w="2045" w:type="pct"/>
                      </w:tcPr>
                      <w:p w:rsidR="00B928C2" w:rsidRDefault="00B928C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עובד כאמור</w:t>
                        </w:r>
                      </w:p>
                    </w:tc>
                    <w:tc>
                      <w:tcPr>
                        <w:tcW w:w="2037" w:type="pct"/>
                      </w:tcPr>
                      <w:p w:rsidR="00B928C2" w:rsidRDefault="00B928C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כאמור</w:t>
                        </w:r>
                      </w:p>
                    </w:tc>
                    <w:tc>
                      <w:tcPr>
                        <w:tcW w:w="919" w:type="pct"/>
                      </w:tcPr>
                      <w:p w:rsidR="00B928C2" w:rsidRDefault="00B928C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96</w:t>
                        </w:r>
                      </w:p>
                    </w:tc>
                  </w:tr>
                  <w:tr w:rsidR="00B928C2">
                    <w:trPr>
                      <w:jc w:val="right"/>
                    </w:trPr>
                    <w:tc>
                      <w:tcPr>
                        <w:tcW w:w="2045" w:type="pct"/>
                      </w:tcPr>
                      <w:p w:rsidR="00B928C2" w:rsidRDefault="00B928C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תיפגע</w:t>
                        </w:r>
                      </w:p>
                    </w:tc>
                    <w:tc>
                      <w:tcPr>
                        <w:tcW w:w="2037" w:type="pct"/>
                      </w:tcPr>
                      <w:p w:rsidR="00B928C2" w:rsidRDefault="00B928C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תפגע</w:t>
                        </w:r>
                      </w:p>
                    </w:tc>
                    <w:tc>
                      <w:tcPr>
                        <w:tcW w:w="919" w:type="pct"/>
                      </w:tcPr>
                      <w:p w:rsidR="00B928C2" w:rsidRDefault="00B928C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97 (ב)</w:t>
                        </w:r>
                      </w:p>
                    </w:tc>
                  </w:tr>
                  <w:tr w:rsidR="00B928C2">
                    <w:trPr>
                      <w:jc w:val="right"/>
                    </w:trPr>
                    <w:tc>
                      <w:tcPr>
                        <w:tcW w:w="2045" w:type="pct"/>
                      </w:tcPr>
                      <w:p w:rsidR="00B928C2" w:rsidRDefault="00B928C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הדין לערעורים ידון בשלושה</w:t>
                        </w:r>
                      </w:p>
                    </w:tc>
                    <w:tc>
                      <w:tcPr>
                        <w:tcW w:w="2037" w:type="pct"/>
                      </w:tcPr>
                      <w:p w:rsidR="00B928C2" w:rsidRDefault="00B928C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הדין לערעורים בשלושה</w:t>
                        </w:r>
                      </w:p>
                    </w:tc>
                    <w:tc>
                      <w:tcPr>
                        <w:tcW w:w="919" w:type="pct"/>
                      </w:tcPr>
                      <w:p w:rsidR="00B928C2" w:rsidRDefault="00B928C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102 (א)</w:t>
                        </w:r>
                      </w:p>
                    </w:tc>
                  </w:tr>
                  <w:tr w:rsidR="00B928C2">
                    <w:trPr>
                      <w:jc w:val="right"/>
                    </w:trPr>
                    <w:tc>
                      <w:tcPr>
                        <w:tcW w:w="2045" w:type="pct"/>
                      </w:tcPr>
                      <w:p w:rsidR="00B928C2" w:rsidRDefault="00B928C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לתשלום תמורת דמי פגיעה</w:t>
                        </w:r>
                      </w:p>
                    </w:tc>
                    <w:tc>
                      <w:tcPr>
                        <w:tcW w:w="2037" w:type="pct"/>
                      </w:tcPr>
                      <w:p w:rsidR="00B928C2" w:rsidRDefault="00B928C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לתשלום דמי פגיעה</w:t>
                        </w:r>
                      </w:p>
                    </w:tc>
                    <w:tc>
                      <w:tcPr>
                        <w:tcW w:w="919" w:type="pct"/>
                      </w:tcPr>
                      <w:p w:rsidR="00B928C2" w:rsidRDefault="00B928C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104 (4)</w:t>
                        </w:r>
                      </w:p>
                    </w:tc>
                  </w:tr>
                  <w:tr w:rsidR="00B928C2">
                    <w:trPr>
                      <w:jc w:val="right"/>
                    </w:trPr>
                    <w:tc>
                      <w:tcPr>
                        <w:tcW w:w="2045" w:type="pct"/>
                      </w:tcPr>
                      <w:p w:rsidR="00B928C2" w:rsidRDefault="00B928C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לחברי בית הדין</w:t>
                        </w:r>
                      </w:p>
                    </w:tc>
                    <w:tc>
                      <w:tcPr>
                        <w:tcW w:w="2037" w:type="pct"/>
                      </w:tcPr>
                      <w:p w:rsidR="00B928C2" w:rsidRDefault="00B928C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לחברי בתי הדין</w:t>
                        </w:r>
                      </w:p>
                    </w:tc>
                    <w:tc>
                      <w:tcPr>
                        <w:tcW w:w="919" w:type="pct"/>
                      </w:tcPr>
                      <w:p w:rsidR="00B928C2" w:rsidRDefault="00B928C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109</w:t>
                        </w:r>
                      </w:p>
                    </w:tc>
                  </w:tr>
                  <w:tr w:rsidR="00B928C2">
                    <w:trPr>
                      <w:jc w:val="right"/>
                    </w:trPr>
                    <w:tc>
                      <w:tcPr>
                        <w:tcW w:w="2045" w:type="pct"/>
                      </w:tcPr>
                      <w:p w:rsidR="00B928C2" w:rsidRDefault="00B928C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שכל תפקידם</w:t>
                        </w:r>
                      </w:p>
                    </w:tc>
                    <w:tc>
                      <w:tcPr>
                        <w:tcW w:w="2037" w:type="pct"/>
                      </w:tcPr>
                      <w:p w:rsidR="00B928C2" w:rsidRDefault="00B928C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שכל תפקידים</w:t>
                        </w:r>
                      </w:p>
                    </w:tc>
                    <w:tc>
                      <w:tcPr>
                        <w:tcW w:w="919" w:type="pct"/>
                      </w:tcPr>
                      <w:p w:rsidR="00B928C2" w:rsidRDefault="00B928C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110</w:t>
                        </w:r>
                      </w:p>
                    </w:tc>
                  </w:tr>
                </w:tbl>
                <w:p w:rsidR="00B928C2" w:rsidRDefault="00B928C2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21951" o:spid="_x0000_s1033" type="#_x0000_t202" style="position:absolute;left:0;text-align:left;margin-left:69.2pt;margin-top:412.2pt;width:416pt;height:69.1pt;z-index:10;mso-position-horizontal-relative:page;mso-position-vertical-relative:page" stroked="f">
            <v:textbox style="mso-next-textbox:#_x0000_s21951" inset="0,0,0,0">
              <w:txbxContent>
                <w:p w:rsidR="00B928C2" w:rsidRDefault="00B928C2">
                  <w:pPr>
                    <w:pStyle w:val="OCRStyle2"/>
                    <w:ind w:left="3150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טעויות דפוס</w:t>
                  </w:r>
                </w:p>
                <w:p w:rsidR="00B928C2" w:rsidRDefault="00B928C2">
                  <w:pPr>
                    <w:pStyle w:val="OCRStyle2"/>
                    <w:ind w:left="738"/>
                    <w:rPr>
                      <w:rtl/>
                    </w:rPr>
                  </w:pPr>
                  <w:r>
                    <w:rPr>
                      <w:rtl/>
                    </w:rPr>
                    <w:t>במהדורות נוספות של חוק הביטוח הלאומי' תשי"ד-1953, שנדפסו בתשי"ד</w:t>
                  </w:r>
                </w:p>
                <w:p w:rsidR="00B928C2" w:rsidRPr="00B928C2" w:rsidRDefault="00B928C2">
                  <w:pPr>
                    <w:pStyle w:val="OCRStyle2"/>
                    <w:ind w:left="173"/>
                  </w:pPr>
                  <w:r>
                    <w:rPr>
                      <w:rtl/>
                    </w:rPr>
                    <w:t>ובתשט"ו, חלו טעויות דפוס אלה:</w:t>
                  </w:r>
                </w:p>
              </w:txbxContent>
            </v:textbox>
            <w10:wrap anchorx="page" anchory="page"/>
          </v:shape>
        </w:pict>
      </w:r>
      <w:r>
        <w:pict>
          <v:shape id="_x0000_s21952" o:spid="_x0000_s1034" type="#_x0000_t202" style="position:absolute;left:0;text-align:left;margin-left:112.75pt;margin-top:307.65pt;width:82.75pt;height:35.45pt;z-index:9;mso-position-horizontal-relative:page;mso-position-vertical-relative:page" stroked="f">
            <v:textbox style="mso-next-textbox:#_x0000_s21952" inset="0,0,0,0">
              <w:txbxContent>
                <w:p w:rsidR="00B928C2" w:rsidRDefault="00B928C2">
                  <w:pPr>
                    <w:pStyle w:val="OCRStyle2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B928C2" w:rsidRDefault="00B928C2">
                  <w:pPr>
                    <w:pStyle w:val="OCRStyle2"/>
                    <w:ind w:left="248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21953" o:spid="_x0000_s1035" type="#_x0000_t202" style="position:absolute;left:0;text-align:left;margin-left:242.6pt;margin-top:306.85pt;width:104.55pt;height:40.8pt;z-index:8;mso-position-horizontal-relative:page;mso-position-vertical-relative:page" stroked="f">
            <v:textbox style="mso-next-textbox:#_x0000_s21953" inset="0,0,0,0">
              <w:txbxContent>
                <w:p w:rsidR="00B928C2" w:rsidRDefault="00B928C2">
                  <w:pPr>
                    <w:pStyle w:val="OCRStyle2"/>
                    <w:ind w:left="104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B928C2" w:rsidRDefault="00B928C2">
                  <w:pPr>
                    <w:pStyle w:val="OCRStyle2"/>
                    <w:ind w:left="36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1954" o:spid="_x0000_s1036" type="#_x0000_t202" style="position:absolute;left:0;text-align:left;margin-left:369.95pt;margin-top:339.5pt;width:100.8pt;height:37.2pt;z-index:7;mso-position-horizontal-relative:page;mso-position-vertical-relative:page" stroked="f">
            <v:textbox style="mso-next-textbox:#_x0000_s21954" inset="0,0,0,0">
              <w:txbxContent>
                <w:p w:rsidR="00B928C2" w:rsidRDefault="00B928C2">
                  <w:pPr>
                    <w:pStyle w:val="OCRStyle2"/>
                    <w:ind w:left="20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י צ ח ק בן-צבי</w:t>
                  </w:r>
                </w:p>
                <w:p w:rsidR="00B928C2" w:rsidRPr="00B928C2" w:rsidRDefault="00B928C2">
                  <w:pPr>
                    <w:pStyle w:val="OCRStyle2"/>
                    <w:ind w:left="41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1955" o:spid="_x0000_s1037" type="#_x0000_t202" style="position:absolute;left:0;text-align:left;margin-left:70.15pt;margin-top:49.85pt;width:499.55pt;height:247.9pt;z-index:6;mso-position-horizontal-relative:page;mso-position-vertical-relative:page" stroked="f">
            <v:textbox style="mso-next-textbox:#_x0000_s21955" inset="0,0,0,0">
              <w:txbxContent>
                <w:tbl>
                  <w:tblPr>
                    <w:tblW w:w="444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715"/>
                    <w:gridCol w:w="1368"/>
                  </w:tblGrid>
                  <w:tr w:rsidR="00B928C2" w:rsidRPr="00B928C2">
                    <w:trPr>
                      <w:jc w:val="right"/>
                    </w:trPr>
                    <w:tc>
                      <w:tcPr>
                        <w:tcW w:w="4247" w:type="pct"/>
                      </w:tcPr>
                      <w:p w:rsidR="00B928C2" w:rsidRDefault="00B928C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(א) כל עובד שמגיעים לו הפרשים כאמור בסעיף 9 (ב10) לחוק הבטל זכאי לקבלם</w:t>
                        </w:r>
                      </w:p>
                      <w:p w:rsidR="00B928C2" w:rsidRDefault="00B928C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ששה חדשים מיום תחילתו של חוק זה,</w:t>
                        </w:r>
                      </w:p>
                      <w:p w:rsidR="00B928C2" w:rsidRDefault="00B928C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כל הפרש שלא נתבע תוך התקופה האמורה בסעיף קטן (א), תפקע זכותו של</w:t>
                        </w:r>
                      </w:p>
                      <w:p w:rsidR="00B928C2" w:rsidRDefault="00B928C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העובד לתבעו והוא יועבר לאוצר המדינה ויצורף לכספים האמורים בסעיף 2.</w:t>
                        </w:r>
                      </w:p>
                    </w:tc>
                    <w:tc>
                      <w:tcPr>
                        <w:tcW w:w="753" w:type="pct"/>
                      </w:tcPr>
                      <w:p w:rsidR="00B928C2" w:rsidRDefault="00B928C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החזרת הפרשים</w:t>
                        </w:r>
                      </w:p>
                      <w:p w:rsidR="00B928C2" w:rsidRPr="00B928C2" w:rsidRDefault="00B928C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לעוברים</w:t>
                        </w:r>
                      </w:p>
                    </w:tc>
                  </w:tr>
                  <w:tr w:rsidR="00B928C2" w:rsidRPr="00B928C2">
                    <w:trPr>
                      <w:jc w:val="right"/>
                    </w:trPr>
                    <w:tc>
                      <w:tcPr>
                        <w:tcW w:w="4247" w:type="pct"/>
                      </w:tcPr>
                      <w:p w:rsidR="00B928C2" w:rsidRDefault="00B928C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(א) בעל מפעל שהוא גוף מואגד ומילא אחרי חובת התשלום כאמור בסעיף 6 לחוק</w:t>
                        </w:r>
                      </w:p>
                      <w:p w:rsidR="00B928C2" w:rsidRDefault="00B928C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הבטל, והוכח שלפי תקנונו אסור לו לחלק את רווחיו או הכנסותיו בין חבריו/ יוחזרו לו</w:t>
                        </w:r>
                      </w:p>
                      <w:p w:rsidR="00B928C2" w:rsidRDefault="00B928C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הסכומים ששילם כאמור ושהיתה חובה להעבירם לקרן ההוזלה לפי סעיף 9(ב20) לחוק</w:t>
                        </w:r>
                      </w:p>
                      <w:p w:rsidR="00B928C2" w:rsidRDefault="00B928C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הבטל.</w:t>
                        </w:r>
                      </w:p>
                      <w:p w:rsidR="00B928C2" w:rsidRDefault="00B928C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הוחזרו סכומים כאמור בסעיף קטן (א), אין בעל מפעל חייב לשלמם לעובדיו.</w:t>
                        </w:r>
                      </w:p>
                      <w:p w:rsidR="00B928C2" w:rsidRDefault="00B928C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בעל מפעל שמגיעים לו סכומים כאמור בסעיף קטן (א), זכאי לתבעם תוך שלושה</w:t>
                        </w:r>
                      </w:p>
                      <w:p w:rsidR="00B928C2" w:rsidRDefault="00B928C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חדשים מיום תחילתו של חוק זה; סכומים שלא נתבעו כאמור - תפקע זכותו של בעל</w:t>
                        </w:r>
                      </w:p>
                      <w:p w:rsidR="00B928C2" w:rsidRPr="00B928C2" w:rsidRDefault="00B928C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המפעל לתבעם.</w:t>
                        </w:r>
                      </w:p>
                    </w:tc>
                    <w:tc>
                      <w:tcPr>
                        <w:tcW w:w="753" w:type="pct"/>
                      </w:tcPr>
                      <w:p w:rsidR="00B928C2" w:rsidRDefault="00B928C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החזרת סכומים</w:t>
                        </w:r>
                      </w:p>
                      <w:p w:rsidR="00B928C2" w:rsidRPr="00B928C2" w:rsidRDefault="00B928C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לבעלי מפעלים</w:t>
                        </w:r>
                      </w:p>
                    </w:tc>
                  </w:tr>
                  <w:tr w:rsidR="00B928C2" w:rsidRPr="00B928C2">
                    <w:trPr>
                      <w:jc w:val="right"/>
                    </w:trPr>
                    <w:tc>
                      <w:tcPr>
                        <w:tcW w:w="4247" w:type="pct"/>
                      </w:tcPr>
                      <w:p w:rsidR="00B928C2" w:rsidRPr="00B928C2" w:rsidRDefault="00B928C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שר האוצר ממונה על ביצוע חוק זה והוא רשאי להתקין תקנות בכל ענין הנוגע לביצועו.</w:t>
                        </w:r>
                      </w:p>
                    </w:tc>
                    <w:tc>
                      <w:tcPr>
                        <w:tcW w:w="753" w:type="pct"/>
                      </w:tcPr>
                      <w:p w:rsidR="00B928C2" w:rsidRPr="00B928C2" w:rsidRDefault="00B928C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ותקנות</w:t>
                        </w:r>
                      </w:p>
                    </w:tc>
                  </w:tr>
                </w:tbl>
                <w:p w:rsidR="00B928C2" w:rsidRDefault="00B928C2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0C7DD8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C7DD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0C35AF0-B2BE-422E-B666-649EADAFC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0C7DD8"/>
    <w:rPr>
      <w:rFonts w:ascii="Arial" w:hAnsi="Arial" w:cs="Arial"/>
      <w:sz w:val="22"/>
      <w:szCs w:val="22"/>
    </w:rPr>
  </w:style>
  <w:style w:type="paragraph" w:customStyle="1" w:styleId="OCRStyle2">
    <w:name w:val="OCR Style #2"/>
    <w:basedOn w:val="a"/>
    <w:rsid w:val="00B928C2"/>
    <w:rPr>
      <w:rFonts w:ascii="Arial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16</Characters>
  <Application>Microsoft Office Word</Application>
  <DocSecurity>4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2008-04-06T19:00:00Z</dcterms:created>
  <dcterms:modified xsi:type="dcterms:W3CDTF">2008-04-06T19:00:00Z</dcterms:modified>
</cp:coreProperties>
</file>