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6A82" w:rsidRDefault="001E6A82">
      <w:pPr>
        <w:rPr>
          <w:rtl/>
        </w:rPr>
      </w:pPr>
    </w:p>
    <w:p w:rsidR="001E6A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321" inset="0,0,0,0">
              <w:txbxContent>
                <w:p w:rsidR="00A44102" w:rsidRDefault="00A44102">
                  <w:r>
                    <w:rPr>
                      <w:rtl/>
                    </w:rPr>
                    <w:t>50                                           ספר החוקים 219                 ה' באדר א' התשי"ז 06.02.1957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22" o:spid="_x0000_s1026" type="#_x0000_t202" style="position:absolute;left:0;text-align:left;margin-left:63.15pt;margin-top:730.9pt;width:420.95pt;height:74.45pt;z-index:3;mso-position-horizontal-relative:page;mso-position-vertical-relative:page" stroked="f">
            <v:textbox style="mso-next-textbox:#_x0000_s22322" inset="0,0,0,0">
              <w:txbxContent>
                <w:p w:rsidR="00A44102" w:rsidRDefault="00A44102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תשי"ז (30 בינואר 1957); הצעת החוק ודברי הסבר נתפרסמו</w:t>
                  </w:r>
                </w:p>
                <w:p w:rsidR="00A44102" w:rsidRDefault="00A44102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273, תשט"ז, עמ' 162.</w:t>
                  </w:r>
                </w:p>
                <w:p w:rsidR="00A44102" w:rsidRPr="001E6A82" w:rsidRDefault="00A44102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164,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23" o:spid="_x0000_s1027" type="#_x0000_t202" style="position:absolute;left:0;text-align:left;margin-left:67.7pt;margin-top:389.55pt;width:501.95pt;height:335.6pt;z-index:2;mso-position-horizontal-relative:page;mso-position-vertical-relative:page" stroked="f">
            <v:textbox style="mso-next-textbox:#_x0000_s22323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0"/>
                    <w:gridCol w:w="1418"/>
                  </w:tblGrid>
                  <w:tr w:rsidR="00A44102" w:rsidRPr="001E6A82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A44102" w:rsidRDefault="00A4410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.בחוק זה -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"מילווה" - כל עסקת אשראי, לרבות נכיון שטר והעברת חוב על פי שטר בדרך אחרת;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"ריבית" - כל תמורה הניתנת בקשר עם מילווה ויש בה משום תוספת לקרן, לרבות דמי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עמילות ודמי נכיון המשתלמים כאמור, בין שנקראים בשם ריבית ובין שנקראים בשם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אחר;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מופרזת" - ריבית ששיעורה עולה על השיעור המכסימלי שנקבע לפי סעיף 3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או סעיף 56 לחוק בנק ישראל, תשי"ד-11954 (להלן -- חוק הבנק);</w:t>
                        </w:r>
                      </w:p>
                      <w:p w:rsidR="00A44102" w:rsidRPr="001E6A8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-- לרבות בורר.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A44102" w:rsidRPr="001E6A8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A44102" w:rsidRPr="001E6A82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A4410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היה המילווה לתקופה העולה על שנתיים, או שהיה לתקופה קצרה יותר אך סולק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 לאחר שנתיים, לא יראו כריבית כל סכום המתווסף לקרן עקב תנאי הצמדה לשער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של המטבע, למדד יוקר המחיה או לעליית מחירו של דבר שנקבע לכך על ידי</w:t>
                        </w:r>
                      </w:p>
                      <w:p w:rsidR="00A44102" w:rsidRPr="001E6A8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בצו, במידה ובתנאים שנקבע.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A44102" w:rsidRPr="001E6A8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</w:tr>
                  <w:tr w:rsidR="00A44102" w:rsidRPr="001E6A82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A4410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שר האוצר רשאי, לאחר התייעצות עם נגיד בנק ישראל ובאישור ועדת הכספים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 בצו, דרך כלל או לסוגים של מילוות, את שיעור הריבית המכסימלי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שמלווה רשאי לקבל מן הלווה, ואת התנאים והתקופות לצבירת הריבית.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לא ישתמש בסמכותו לפי סעיף קטן (א) לגבי סוג מילוות, כל עוד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עליהם צו של נגיד בנק ישראל לפי סעיף 56 לחוק הבנק; ולא ישתמש נגיד בנק</w:t>
                        </w:r>
                      </w:p>
                      <w:p w:rsidR="00A44102" w:rsidRPr="001E6A8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בסמכותו לפי סעיף 56 האמור לגבי סוג מילוות שחל עליהם צו שר האוצר.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A4410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לקבוע</w:t>
                        </w:r>
                      </w:p>
                      <w:p w:rsidR="00A4410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ריבית</w:t>
                        </w:r>
                      </w:p>
                      <w:p w:rsidR="00A44102" w:rsidRPr="001E6A8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מכסימלי</w:t>
                        </w:r>
                      </w:p>
                    </w:tc>
                  </w:tr>
                  <w:tr w:rsidR="00A44102" w:rsidRPr="001E6A82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A44102" w:rsidRPr="001E6A82" w:rsidRDefault="00A4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ידרוש אדם ולא יקבל ריבית מופרזת.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A4410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ריבית</w:t>
                        </w:r>
                      </w:p>
                      <w:p w:rsidR="00A44102" w:rsidRPr="001E6A82" w:rsidRDefault="00A44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מופרזת</w:t>
                        </w:r>
                      </w:p>
                    </w:tc>
                  </w:tr>
                </w:tbl>
                <w:p w:rsidR="00A44102" w:rsidRDefault="00A441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24" o:spid="_x0000_s1028" type="#_x0000_t202" style="position:absolute;left:0;text-align:left;margin-left:200.55pt;margin-top:364.4pt;width:171.05pt;height:24.75pt;z-index:1;mso-position-horizontal-relative:page;mso-position-vertical-relative:page" stroked="f">
            <v:textbox style="mso-next-textbox:#_x0000_s22324" inset="0,0,0,0">
              <w:txbxContent>
                <w:p w:rsidR="00A44102" w:rsidRPr="001E6A82" w:rsidRDefault="00A44102">
                  <w:pPr>
                    <w:pStyle w:val="OCRStyle1"/>
                    <w:ind w:left="25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הריבית, תשי"ז--1957*</w:t>
                  </w:r>
                </w:p>
              </w:txbxContent>
            </v:textbox>
            <w10:wrap anchorx="page" anchory="page"/>
          </v:shape>
        </w:pict>
      </w:r>
    </w:p>
    <w:p w:rsidR="00B74205" w:rsidRDefault="00B74205">
      <w:pPr>
        <w:rPr>
          <w:rtl/>
        </w:rPr>
      </w:pPr>
      <w:r>
        <w:rPr>
          <w:rtl/>
        </w:rPr>
        <w:br w:type="page"/>
      </w:r>
    </w:p>
    <w:p w:rsidR="00B74205" w:rsidRDefault="00000000">
      <w:pPr>
        <w:rPr>
          <w:rtl/>
        </w:rPr>
      </w:pPr>
      <w:r>
        <w:pict>
          <v:shape id="_x0000_s2232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325" inset="0,0,0,0">
              <w:txbxContent>
                <w:p w:rsidR="00A44102" w:rsidRDefault="00A44102">
                  <w:r>
                    <w:rPr>
                      <w:rtl/>
                    </w:rPr>
                    <w:t>51                                           ספר החוקים 219                 ה' באדר א' התשי"ז 06.02.1957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26" o:spid="_x0000_s1030" type="#_x0000_t202" style="position:absolute;left:0;text-align:left;margin-left:363.7pt;margin-top:703.2pt;width:208.3pt;height:110.1pt;z-index:9;mso-position-horizontal-relative:page;mso-position-vertical-relative:page" stroked="f">
            <v:textbox style="mso-next-textbox:#_x0000_s22326" inset="0,0,0,0">
              <w:txbxContent>
                <w:p w:rsidR="00A44102" w:rsidRDefault="00A44102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ב', פרק ס"ח, עמ' 749.</w:t>
                  </w:r>
                </w:p>
                <w:p w:rsidR="00A44102" w:rsidRDefault="00A44102">
                  <w:pPr>
                    <w:pStyle w:val="OCRStyle2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1934, תוס' 1 מס' 459, עמ' .176</w:t>
                  </w:r>
                </w:p>
                <w:p w:rsidR="00A44102" w:rsidRDefault="00A44102">
                  <w:pPr>
                    <w:pStyle w:val="OCRStyle2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1938, תוסי 1, מס' 770, עטי .15</w:t>
                  </w:r>
                </w:p>
                <w:p w:rsidR="00A44102" w:rsidRPr="00B74205" w:rsidRDefault="00A44102">
                  <w:pPr>
                    <w:pStyle w:val="OCRStyle2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 כרך א', פרק כ"ב,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27" o:spid="_x0000_s1031" type="#_x0000_t202" style="position:absolute;left:0;text-align:left;margin-left:178.8pt;margin-top:489.15pt;width:94.45pt;height:44.95pt;z-index:8;mso-position-horizontal-relative:page;mso-position-vertical-relative:page" stroked="f">
            <v:textbox style="mso-next-textbox:#_x0000_s22327" inset="0,0,0,0">
              <w:txbxContent>
                <w:p w:rsidR="00A44102" w:rsidRDefault="00A44102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44102" w:rsidRDefault="00A44102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28" o:spid="_x0000_s1032" type="#_x0000_t202" style="position:absolute;left:0;text-align:left;margin-left:301.15pt;margin-top:492.1pt;width:122.35pt;height:41pt;z-index:7;mso-position-horizontal-relative:page;mso-position-vertical-relative:page" stroked="f">
            <v:textbox style="mso-next-textbox:#_x0000_s22328" inset="0,0,0,0">
              <w:txbxContent>
                <w:p w:rsidR="00A44102" w:rsidRDefault="00A44102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44102" w:rsidRDefault="00A44102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29" o:spid="_x0000_s1033" type="#_x0000_t202" style="position:absolute;left:0;text-align:left;margin-left:446.85pt;margin-top:518.25pt;width:100.8pt;height:44.75pt;z-index:6;mso-position-horizontal-relative:page;mso-position-vertical-relative:page" stroked="f">
            <v:textbox style="mso-next-textbox:#_x0000_s22329" inset="0,0,0,0">
              <w:txbxContent>
                <w:p w:rsidR="00A44102" w:rsidRDefault="00A44102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44102" w:rsidRDefault="00A44102">
                  <w:pPr>
                    <w:pStyle w:val="OCRStyle2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30" o:spid="_x0000_s1034" type="#_x0000_t202" style="position:absolute;left:0;text-align:left;margin-left:72.25pt;margin-top:59.7pt;width:502.5pt;height:427.7pt;z-index:5;mso-position-horizontal-relative:page;mso-position-vertical-relative:page" stroked="f">
            <v:textbox style="mso-next-textbox:#_x0000_s2233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7687"/>
                  </w:tblGrid>
                  <w:tr w:rsidR="00A44102" w:rsidRPr="00B7420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צבירת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.לא ידרוש אדם ולא יקבל ריבית דריבית אלא במידה שצבירת הריבית הותרה בצו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.3</w:t>
                        </w:r>
                      </w:p>
                    </w:tc>
                  </w:tr>
                  <w:tr w:rsidR="00A44102" w:rsidRPr="00B7420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ריבית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מופרזת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.מצא בית משפט, כי ריבית שאדם פלוני שילם או התחייב לשלם, היא ריבית מופרזת</w:t>
                        </w:r>
                      </w:p>
                      <w:p w:rsidR="00A44102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יפחית הוא את הריבית לשיעור המכסימלי שנקבע לגבי אותו סוג מילוות וישחרר את הלווה</w:t>
                        </w:r>
                      </w:p>
                      <w:p w:rsidR="00A44102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מחובתו לתשלום הריבית העודפת או יחייב את המלווה בהחזרתה, הכל לפי הענין; ורשאי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לפתוח למטרה זו כל חשבון שנסגר, על אף כל הסכם שבין בעלי הדין.</w:t>
                        </w:r>
                      </w:p>
                    </w:tc>
                  </w:tr>
                  <w:tr w:rsidR="00A44102" w:rsidRPr="00B7420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A44102" w:rsidRPr="00B74205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הנותן מילווה בריבית מופרזת או המקבל ריבית מופרזת, דינו-קנס 10,000 לירות</w:t>
                        </w:r>
                      </w:p>
                      <w:p w:rsidR="00A44102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פי חמישה מסכום הריבית המופרזת; הוראה זו לא תחול על פקדונות במוסד בנקאי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הבנק.</w:t>
                        </w:r>
                      </w:p>
                    </w:tc>
                  </w:tr>
                  <w:tr w:rsidR="00A44102" w:rsidRPr="00B7420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A44102" w:rsidRPr="00B74205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.על אף האמור בכל דין, רשאי בית המשפט בהליכים לפי סעיפים 6 ו-7 לקבל כראיה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בעל פה וכן להסתפק בעדות יחיד.</w:t>
                        </w:r>
                      </w:p>
                    </w:tc>
                  </w:tr>
                  <w:tr w:rsidR="00A44102" w:rsidRPr="00B7420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A44102" w:rsidRPr="00B74205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בטלים -</w:t>
                        </w:r>
                      </w:p>
                      <w:p w:rsidR="00A44102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החוק העותומני על הריבית מיום 9 רג"ב 1304 (9 באפריל 1887);</w:t>
                        </w:r>
                      </w:p>
                      <w:p w:rsidR="00A44102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הריבית (השער החוקי) 2;</w:t>
                        </w:r>
                      </w:p>
                      <w:p w:rsidR="00A44102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ההלוואות בריבית קצוצה, 31934;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פקודת ההלוואות (גביית ריבית), 41938.</w:t>
                        </w:r>
                      </w:p>
                    </w:tc>
                  </w:tr>
                  <w:tr w:rsidR="00A44102" w:rsidRPr="00B7420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A44102" w:rsidRPr="00B74205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מילווה שניתן לפני תחילתו של חוק זה יחולו עליו הוראות החוקים האמורים בסעיף 9</w:t>
                        </w:r>
                      </w:p>
                      <w:p w:rsidR="00A44102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חוק זה וסעיף 78 לחוק הבנק לא נכנסו לתקפם, ובלבד שסעיף 4 לחוק העותומני</w:t>
                        </w:r>
                      </w:p>
                      <w:p w:rsidR="00A44102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הריבית מיום 9 רג"ב 1304 (9 באפריל 1887) לא יחול על מילווה כאמור שניתן לחברה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והמובטח באגרת חוב כמשמעותה בפקודת החברות 5.</w:t>
                        </w:r>
                      </w:p>
                    </w:tc>
                  </w:tr>
                  <w:tr w:rsidR="00A44102" w:rsidRPr="00B7420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A44102" w:rsidRDefault="00A4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תחילתם של חוק זה ושל סעיף 78 לחוק הבנק היא ביום כ"ח באדר א' תשי"ז (1 במרס</w:t>
                        </w:r>
                      </w:p>
                      <w:p w:rsidR="00A44102" w:rsidRPr="00B74205" w:rsidRDefault="00A4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1957).</w:t>
                        </w:r>
                      </w:p>
                    </w:tc>
                  </w:tr>
                </w:tbl>
                <w:p w:rsidR="00A44102" w:rsidRDefault="00A4410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44102" w:rsidRDefault="00A44102">
      <w:pPr>
        <w:rPr>
          <w:rtl/>
        </w:rPr>
      </w:pPr>
      <w:r>
        <w:rPr>
          <w:rtl/>
        </w:rPr>
        <w:br w:type="page"/>
      </w:r>
    </w:p>
    <w:p w:rsidR="00A44102" w:rsidRDefault="00000000">
      <w:pPr>
        <w:rPr>
          <w:rtl/>
        </w:rPr>
      </w:pPr>
      <w:r>
        <w:pict>
          <v:shape id="_x0000_s22331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331" inset="0,0,0,0">
              <w:txbxContent>
                <w:p w:rsidR="00A44102" w:rsidRDefault="00A44102">
                  <w:r>
                    <w:rPr>
                      <w:rtl/>
                    </w:rPr>
                    <w:t>52                                           ספר החוקים 219                 ה' באדר א' התשי"ז 06.02.1957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32" o:spid="_x0000_s1036" type="#_x0000_t202" style="position:absolute;left:0;text-align:left;margin-left:78.6pt;margin-top:760.35pt;width:133.05pt;height:34.45pt;z-index:11;mso-position-horizontal-relative:page;mso-position-vertical-relative:page" stroked="f">
            <v:textbox style="mso-next-textbox:#_x0000_s22332" inset="0,0,0,0">
              <w:txbxContent>
                <w:p w:rsidR="00A44102" w:rsidRDefault="00A4410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E6A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86B00D-42F2-477F-AB40-5524035B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6A8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7420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441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2008-04-06T19:02:00Z</dcterms:created>
  <dcterms:modified xsi:type="dcterms:W3CDTF">2008-04-06T19:03:00Z</dcterms:modified>
</cp:coreProperties>
</file>