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74F8" w:rsidRDefault="00F874F8">
      <w:pPr>
        <w:rPr>
          <w:rtl/>
        </w:rPr>
      </w:pPr>
    </w:p>
    <w:p w:rsidR="00F874F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34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340" inset="0,0,0,0">
              <w:txbxContent>
                <w:p w:rsidR="00D532FC" w:rsidRDefault="00D532FC">
                  <w:r>
                    <w:rPr>
                      <w:rtl/>
                    </w:rPr>
                    <w:t>40                                           ספר החוקים 878                    ה' בטבת התשל"ח 15.12.1977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41" o:spid="_x0000_s1026" type="#_x0000_t202" style="position:absolute;left:0;text-align:left;margin-left:94.45pt;margin-top:660.1pt;width:397.8pt;height:85.55pt;z-index:3;mso-position-horizontal-relative:page;mso-position-vertical-relative:page" stroked="f">
            <v:textbox style="mso-next-textbox:#_x0000_s22341" inset="0,0,0,0">
              <w:txbxContent>
                <w:p w:rsidR="00D532FC" w:rsidRDefault="00D532FC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בכסלו תשל'"ח (5 בדצמבר 1977); הצעת החוק ודברי הסבר פורסמו בה"ח 1301, תשל"ז</w:t>
                  </w:r>
                </w:p>
                <w:p w:rsidR="00D532FC" w:rsidRDefault="00D532FC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עמ' 237.</w:t>
                  </w:r>
                </w:p>
                <w:p w:rsidR="00D532FC" w:rsidRDefault="00D532FC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 ס"ח תשכ"ח, עמ' 204; תשל"ב, עמ' 154; תשל"ד, עמ' 100.</w:t>
                  </w:r>
                </w:p>
                <w:p w:rsidR="00D532FC" w:rsidRDefault="00D532FC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2 ע"ר 1940, תוס' 1, עמ' 191.</w:t>
                  </w:r>
                </w:p>
                <w:p w:rsidR="00D532FC" w:rsidRPr="00F874F8" w:rsidRDefault="00D532FC">
                  <w:pPr>
                    <w:pStyle w:val="OCRStyle1"/>
                    <w:ind w:left="5238"/>
                  </w:pPr>
                  <w:r>
                    <w:rPr>
                      <w:rtl/>
                    </w:rPr>
                    <w:t>וי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42" o:spid="_x0000_s1027" type="#_x0000_t202" style="position:absolute;left:0;text-align:left;margin-left:83.55pt;margin-top:108.05pt;width:467.3pt;height:545.3pt;z-index:2;mso-position-horizontal-relative:page;mso-position-vertical-relative:page" stroked="f">
            <v:textbox style="mso-next-textbox:#_x0000_s2234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6"/>
                    <w:gridCol w:w="1159"/>
                    <w:gridCol w:w="1140"/>
                  </w:tblGrid>
                  <w:tr w:rsidR="00D532FC" w:rsidRPr="00F874F8">
                    <w:trPr>
                      <w:jc w:val="right"/>
                    </w:trPr>
                    <w:tc>
                      <w:tcPr>
                        <w:tcW w:w="4329" w:type="pct"/>
                        <w:gridSpan w:val="2"/>
                      </w:tcPr>
                      <w:p w:rsidR="00D532FC" w:rsidRPr="00F874F8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רישוי עסקים, תשכ"ח-1968  1(להלן - החוק העיקרי), אחרי סעיף 2 יבוא:</w:t>
                        </w:r>
                      </w:p>
                    </w:tc>
                    <w:tc>
                      <w:tcPr>
                        <w:tcW w:w="671" w:type="pct"/>
                      </w:tcPr>
                      <w:p w:rsidR="00D532FC" w:rsidRPr="00F874F8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D532FC">
                    <w:trPr>
                      <w:jc w:val="right"/>
                    </w:trPr>
                    <w:tc>
                      <w:tcPr>
                        <w:tcW w:w="3647" w:type="pct"/>
                      </w:tcPr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בעסק של רוכלות תהא רשות הרישוי שלו לפי חוק זה רשאית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בסמכותה גם לענינים אלה: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איסור רוכלות באזורים מסויימים, הגבלת מספר הרש-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יונות לרוכלות בהם, איסור סוגים מסויימים של רוכלות או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מספר הרשיונות בסוגי רוכלות מסויימים, הכל באופן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 או מזמן לזמן, לשם מניעת פגיעה בפרנסתם של רוכלים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ובעלי עסקים אחרים, או מתוך התחשבות בצרכי הסדר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הציבורי;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ייחוד סוגי רוכלות מסויימים והקצאת מספר מסויים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רשיונות בכל סוגי רוכלות לאנשים הזקוקים לשיקום או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לסעד מכוח חוק.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כל החלטה של רשות הרישוי לפי סעיף קטן (א) -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דינה יהא כדין תנאי שהוסף ברשיון לפי סעיף 7 וערעור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לפי סעיף 7א (ה) נדחה;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הודעה עליה תישלח בדואר לבעלי רשיונות לרוכלות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בדבר בתחום רשות הרישוי לפי המען שמסרו לאח-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רונה - ויראוה כאילו הגיעה לתעודתה שבעה ימים לאחר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המשלוח - ותפורסם ברשומות ובכל מקום שנוהגים לפרסם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הודעות פומביות בתחום הרשות.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הרישוי, בהתייעצות עם רופא מחוזי כמשמעותו בפקו-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 בריאות העם, 21940 (להלן - רופא מחוזי), מפקד משטרת המחוז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ומנהל המחוז של משרד התעשיה, המסחר והתיירות, תפרסם הצעת החלטה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(א) (1) בשני עתונים יומיים הנפוצים בתחומה וכל אדם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הרואה עצמו נפגע מהצעה זו רשאי תוך שלושים יום להשיג עליה בכתב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-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מועצת העיריה או המועצה המקומית - אם הצעת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היא מאת רשות רישוי בתחום עיריה או מועצה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(להלן - רשות מקומית);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הפנים - אם הצעת ההחלטה היא מאת רשות רישוי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לתחומה של רשות מקומית;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בהשגה כאמור תהא סופית.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רשות רישוי שפרסמה הצעת החלטה לפי סעיף קטן (ג),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לסרב לתת רשיון לרוכלות בהתאם להצעה החל מיום פרסומה וכל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נתקבלה השגה עליה.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בחוק זה, "רוכלות" - עיסוק בקניה, במכירה או בהצעת</w:t>
                        </w:r>
                      </w:p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או מלאכה לציבור שלא בתוך מבנה קבע."</w:t>
                        </w:r>
                      </w:p>
                    </w:tc>
                    <w:tc>
                      <w:tcPr>
                        <w:tcW w:w="682" w:type="pct"/>
                      </w:tcPr>
                      <w:p w:rsidR="00D532FC" w:rsidRPr="00F874F8" w:rsidRDefault="00D53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"עסקי רוכלות</w:t>
                        </w:r>
                      </w:p>
                    </w:tc>
                    <w:tc>
                      <w:tcPr>
                        <w:tcW w:w="671" w:type="pct"/>
                      </w:tcPr>
                      <w:p w:rsidR="00D532FC" w:rsidRDefault="00D532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532FC" w:rsidRDefault="00D532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343" o:spid="_x0000_s1028" type="#_x0000_t202" style="position:absolute;left:0;text-align:left;margin-left:151.45pt;margin-top:79.55pt;width:279.4pt;height:26.75pt;z-index:1;mso-position-horizontal-relative:page;mso-position-vertical-relative:page" stroked="f">
            <v:textbox style="mso-next-textbox:#_x0000_s22343" inset="0,0,0,0">
              <w:txbxContent>
                <w:p w:rsidR="00D532FC" w:rsidRPr="00F874F8" w:rsidRDefault="00D532FC">
                  <w:pPr>
                    <w:pStyle w:val="OCRStyle1"/>
                    <w:ind w:left="31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רישוי עסקים (תיקון מס' 3), תשל"ח-1977 .</w:t>
                  </w:r>
                </w:p>
              </w:txbxContent>
            </v:textbox>
            <w10:wrap anchorx="page" anchory="page"/>
          </v:shape>
        </w:pict>
      </w:r>
    </w:p>
    <w:p w:rsidR="00195CED" w:rsidRDefault="00195CED">
      <w:pPr>
        <w:rPr>
          <w:rtl/>
        </w:rPr>
      </w:pPr>
      <w:r>
        <w:rPr>
          <w:rtl/>
        </w:rPr>
        <w:br w:type="page"/>
      </w:r>
    </w:p>
    <w:p w:rsidR="00195CED" w:rsidRDefault="00000000">
      <w:pPr>
        <w:rPr>
          <w:rtl/>
        </w:rPr>
      </w:pPr>
      <w:r>
        <w:pict>
          <v:shape id="_x0000_s2234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344" inset="0,0,0,0">
              <w:txbxContent>
                <w:p w:rsidR="00D532FC" w:rsidRDefault="00D532FC">
                  <w:r>
                    <w:rPr>
                      <w:rtl/>
                    </w:rPr>
                    <w:t>41                                           ספר החוקים 878                    ה' בטבת התשל"ח 15.12.1977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45" o:spid="_x0000_s1030" type="#_x0000_t202" style="position:absolute;left:0;text-align:left;margin-left:370.55pt;margin-top:672.3pt;width:162.75pt;height:71.5pt;z-index:6;mso-position-horizontal-relative:page;mso-position-vertical-relative:page" stroked="f">
            <v:textbox style="mso-next-textbox:#_x0000_s22345" inset="0,0,0,0">
              <w:txbxContent>
                <w:p w:rsidR="00D532FC" w:rsidRDefault="00D532FC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8, עמ' 197.</w:t>
                  </w:r>
                </w:p>
                <w:p w:rsidR="00D532FC" w:rsidRDefault="00D532FC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4 דיני מדינת ישראל, נוסח חדש 9, עמ' 256.</w:t>
                  </w:r>
                </w:p>
                <w:p w:rsidR="00D532FC" w:rsidRPr="00195CED" w:rsidRDefault="00D532FC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5 ס"ח תשכ"ה, עמ' 270.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46" o:spid="_x0000_s1031" type="#_x0000_t202" style="position:absolute;left:0;text-align:left;margin-left:86.2pt;margin-top:72.6pt;width:468.85pt;height:596.55pt;z-index:5;mso-position-horizontal-relative:page;mso-position-vertical-relative:page" stroked="f">
            <v:textbox style="mso-next-textbox:#_x0000_s2234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9"/>
                    <w:gridCol w:w="5684"/>
                    <w:gridCol w:w="1671"/>
                  </w:tblGrid>
                  <w:tr w:rsidR="00D532FC" w:rsidRPr="00195CED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5(א10) לחוק העיקרי, במקום "בתחום עיריה או מועצה מקומית (להלן -</w:t>
                        </w:r>
                      </w:p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מקומית)" יבוא "בתחום רשות מקומית".</w:t>
                        </w:r>
                      </w:p>
                    </w:tc>
                  </w:tr>
                  <w:tr w:rsidR="00D532FC" w:rsidRPr="00195CED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5 לחוק העיקרי יבוא:</w:t>
                        </w:r>
                      </w:p>
                    </w:tc>
                  </w:tr>
                  <w:tr w:rsidR="00D532FC" w:rsidRPr="00195CED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  <w:tc>
                      <w:tcPr>
                        <w:tcW w:w="3334" w:type="pct"/>
                      </w:tcPr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רשיון שקיבל רוכל מרשות רישוי מתחום רשות מקומית לא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לו תוקף מחוץ לתחום אותה רשות מקומית.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רישוי מחוץ לתחומה של רשות מקומית תקבע ברשיון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לרוכלות את תחומי השטח שבו יהיה הרוכל רשאי לנהל את עסקו."</w:t>
                        </w:r>
                      </w:p>
                    </w:tc>
                    <w:tc>
                      <w:tcPr>
                        <w:tcW w:w="980" w:type="pct"/>
                      </w:tcPr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"תחום עיסוק</w:t>
                        </w:r>
                      </w:p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ברוכלות</w:t>
                        </w:r>
                      </w:p>
                    </w:tc>
                  </w:tr>
                  <w:tr w:rsidR="00D532FC" w:rsidRPr="00195CED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11ג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11ב לחוק העיקרי יבוא:</w:t>
                        </w:r>
                      </w:p>
                    </w:tc>
                  </w:tr>
                  <w:tr w:rsidR="00D532FC" w:rsidRPr="00195CED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4" w:type="pct"/>
                      </w:tcPr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11ג. (א) רשות מקומית רשאית לקבוע בחוק עזר הוראות בדבר -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רישוים של רוכלים ודרכי הפיקוח עליהם וכל הוראה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העשויה לקדם לגבי עסקי רוכלות מטרה ממטרות הרישוי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בסעיף 1(א);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צורת דוכנו, עגלתו או מכוניתו של רוכל או צורת כל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אחר המשמש להחסנת מרכלתו, הובלתה או הצגתה לראוה;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פטור סוגי רוכלות מסויימים מחובת רישוי לפי חוק זה;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איסור רוכלות או איסור סוגי רוכלות בימים או בשעות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מסויימים, בתחום הרשות המקומית כולו או באזורים מסויימים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בו.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על חוקי עזר לפי סעיף קטן (א) יחולו בעיריה הוראות פרק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שלושה-עשר לפקודת העיריות 3, ובמועצה מקומית הוראות סימן ג'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ב' לפקודת המועצות המקומיות 4, אולם חוק עזר הפוטר סוגי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רוכלות מחובת רישוי טעון אישור גם מאת שר הבריאות.".</w:t>
                        </w:r>
                      </w:p>
                    </w:tc>
                    <w:tc>
                      <w:tcPr>
                        <w:tcW w:w="980" w:type="pct"/>
                      </w:tcPr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"חוקי עזר</w:t>
                        </w:r>
                      </w:p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לעסקי רוכלות</w:t>
                        </w:r>
                      </w:p>
                    </w:tc>
                  </w:tr>
                  <w:tr w:rsidR="00D532FC" w:rsidRPr="00195CED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בסעיף 12 לחוק העיקרי, במקום "אין בתקנות לפי סעיפים 9 עד 11ב" יבוא "אין</w:t>
                        </w:r>
                      </w:p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או בחוקי עזר לפי סעיפים 9 עד 11 ג" ובסופו יבוא "או בחוקי העזר".</w:t>
                        </w:r>
                      </w:p>
                    </w:tc>
                  </w:tr>
                  <w:tr w:rsidR="00D532FC" w:rsidRPr="00195CED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14 (א) לחוק העיקרי, במקום "רופא של לשכת הבריאות המחוזית כמשמעותה</w:t>
                        </w:r>
                      </w:p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בריאות העם, 1940 (להלן - רופא מחוזי)" יבוא "רופא מחוזי.</w:t>
                        </w:r>
                      </w:p>
                    </w:tc>
                  </w:tr>
                  <w:tr w:rsidR="00D532FC" w:rsidRPr="00195CED">
                    <w:trPr>
                      <w:jc w:val="right"/>
                    </w:trPr>
                    <w:tc>
                      <w:tcPr>
                        <w:tcW w:w="686" w:type="pct"/>
                        <w:vMerge w:val="restart"/>
                      </w:tcPr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27א-27ד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אחרי סעיף 27 לחוק העיקרי יבוא:</w:t>
                        </w:r>
                      </w:p>
                    </w:tc>
                  </w:tr>
                  <w:tr w:rsidR="00D532FC" w:rsidRPr="00195CED">
                    <w:trPr>
                      <w:jc w:val="right"/>
                    </w:trPr>
                    <w:tc>
                      <w:tcPr>
                        <w:tcW w:w="686" w:type="pct"/>
                        <w:vMerge/>
                      </w:tcPr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4" w:type="pct"/>
                      </w:tcPr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(א) היה לרשות רישוי, או למי שהיא הסמיכה לכך, יסוד סביר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כי רוכל עבר עבירה לפי סעיף 14 או שלא קיים הוראת חוק עזר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11ג, רשאית היא או מי שהסמיכה לכך -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הרוכל אינו מזדהה בתעודת זהות כאמור בחוק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מרשם האוכלוסין, תשכ"ה-1965 5- לעצרו ולהביאו לתחנת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לשם זיהויו5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לתפוס את המרכולת שבידי הרוכל וכן כל כלי ואבזר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 את הרוכל בעיסוקו, לרבות כל כלי ואמצעי המשמש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להובלת המרכולת, לנשיאתה, להצגתה לראוה או להחסנתה</w:t>
                        </w:r>
                      </w:p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חפצי רוכל); נתפסו חפצי רוכל כאמור, ימסור</w:t>
                        </w:r>
                      </w:p>
                    </w:tc>
                    <w:tc>
                      <w:tcPr>
                        <w:tcW w:w="980" w:type="pct"/>
                      </w:tcPr>
                      <w:p w:rsidR="00D532FC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"אמצעים להפסקת</w:t>
                        </w:r>
                      </w:p>
                      <w:p w:rsidR="00D532FC" w:rsidRPr="00195CED" w:rsidRDefault="00D53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של רוכל</w:t>
                        </w:r>
                      </w:p>
                    </w:tc>
                  </w:tr>
                </w:tbl>
                <w:p w:rsidR="00D532FC" w:rsidRDefault="00D532F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532FC" w:rsidRDefault="00D532FC">
      <w:pPr>
        <w:rPr>
          <w:rtl/>
        </w:rPr>
      </w:pPr>
      <w:r>
        <w:rPr>
          <w:rtl/>
        </w:rPr>
        <w:br w:type="page"/>
      </w:r>
    </w:p>
    <w:p w:rsidR="00D532FC" w:rsidRDefault="00000000">
      <w:pPr>
        <w:rPr>
          <w:rtl/>
        </w:rPr>
      </w:pPr>
      <w:r>
        <w:pict>
          <v:shape id="_x0000_s22347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2347" inset="0,0,0,0">
              <w:txbxContent>
                <w:p w:rsidR="00D532FC" w:rsidRDefault="00D532FC">
                  <w:r>
                    <w:rPr>
                      <w:rtl/>
                    </w:rPr>
                    <w:t>42                                           ספר החוקים 878                    ה' בטבת התשל"ח 15.12.1977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48" o:spid="_x0000_s1033" type="#_x0000_t202" style="position:absolute;left:0;text-align:left;margin-left:102.2pt;margin-top:706.35pt;width:161.35pt;height:60pt;z-index:12;mso-position-horizontal-relative:page;mso-position-vertical-relative:page" stroked="f">
            <v:textbox style="mso-next-textbox:#_x0000_s22348" inset="0,0,0,0">
              <w:txbxContent>
                <w:p w:rsidR="00D532FC" w:rsidRDefault="00D532FC">
                  <w:pPr>
                    <w:pStyle w:val="OCRStyle3"/>
                    <w:rPr>
                      <w:rtl/>
                    </w:rPr>
                  </w:pPr>
                </w:p>
                <w:p w:rsidR="00D532FC" w:rsidRPr="00D532FC" w:rsidRDefault="00D532FC">
                  <w:pPr>
                    <w:pStyle w:val="OCRStyle3"/>
                    <w:ind w:left="774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49" o:spid="_x0000_s1034" type="#_x0000_t202" style="position:absolute;left:0;text-align:left;margin-left:114.9pt;margin-top:616.85pt;width:98.6pt;height:44.35pt;z-index:11;mso-position-horizontal-relative:page;mso-position-vertical-relative:page" stroked="f">
            <v:textbox style="mso-next-textbox:#_x0000_s22349" inset="0,0,0,0">
              <w:txbxContent>
                <w:p w:rsidR="00D532FC" w:rsidRDefault="00D532FC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D532FC" w:rsidRDefault="00D532FC">
                  <w:pPr>
                    <w:pStyle w:val="OCRStyle3"/>
                    <w:ind w:left="40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50" o:spid="_x0000_s1035" type="#_x0000_t202" style="position:absolute;left:0;text-align:left;margin-left:252.7pt;margin-top:618.6pt;width:76.8pt;height:39.2pt;z-index:10;mso-position-horizontal-relative:page;mso-position-vertical-relative:page" stroked="f">
            <v:textbox style="mso-next-textbox:#_x0000_s22350" inset="0,0,0,0">
              <w:txbxContent>
                <w:p w:rsidR="00D532FC" w:rsidRDefault="00D532FC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532FC" w:rsidRDefault="00D532FC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51" o:spid="_x0000_s1036" type="#_x0000_t202" style="position:absolute;left:0;text-align:left;margin-left:369.7pt;margin-top:645.35pt;width:100.2pt;height:44.15pt;z-index:9;mso-position-horizontal-relative:page;mso-position-vertical-relative:page" stroked="f">
            <v:textbox style="mso-next-textbox:#_x0000_s22351" inset="0,0,0,0">
              <w:txbxContent>
                <w:p w:rsidR="00D532FC" w:rsidRDefault="00D532FC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532FC" w:rsidRDefault="00D532FC">
                  <w:pPr>
                    <w:pStyle w:val="OCRStyle3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52" o:spid="_x0000_s1037" type="#_x0000_t202" style="position:absolute;left:0;text-align:left;margin-left:94.7pt;margin-top:72.9pt;width:465.5pt;height:528.85pt;z-index:8;mso-position-horizontal-relative:page;mso-position-vertical-relative:page" stroked="f">
            <v:textbox style="mso-next-textbox:#_x0000_s2235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7"/>
                    <w:gridCol w:w="1300"/>
                    <w:gridCol w:w="1148"/>
                  </w:tblGrid>
                  <w:tr w:rsidR="00D532FC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לרוכל מי שביצע את התפיסה הודעה בכתב, חתומה בידו,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התפיסה, המציינת את מהות העבירה שעבר הרוכל לדעת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 התפיסה והמפרטת ככל האפשר בנסיבות הענין את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החפצים שנתפסו.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המפעיל את סמכותו לפי סעיף זה רשאי להשתמש לשם כך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סבירה של כוח אם הרוכל מתנגד למעצר או לתפיסת חפציו. -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המבקש להפעיל את סמכותו לפי סעיף זה מכוח הסמכה לפי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(א), לא יעשה כן אלא לאחר שהציג את כתב הסמכתו אם נדרש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27ב. לא הגישה רשות הרישוי לבית המשפט, תוך 30 יום מיום שנתפסו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חפצי רוכל, כתב אישום נגד הרוכל על העבירה ששימשה עילה לתפיסה,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תחזיר לרוכל את חפציו שתפסה.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לאישום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רוכל שחפציו</w:t>
                        </w:r>
                      </w:p>
                      <w:p w:rsidR="00D532FC" w:rsidRP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נתפסו</w:t>
                        </w:r>
                      </w:p>
                    </w:tc>
                    <w:tc>
                      <w:tcPr>
                        <w:tcW w:w="678" w:type="pct"/>
                      </w:tcPr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532FC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27ג. רוכל הרואה עצמו נפגע בתפיסת חפציו וטרם הוגש נגדו כתב אישום,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לבקש מבית המשפט המוסמך לדון בעבירה שבשלה נתפסו החפצים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את התפיסה; הוגש כתב האישום, רשאי הרוכל לבקש את ביטול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התפיסה מבית המשפט שאליו הוגש כתב האישום; בית המשפט רשאי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את התפיסה או לאשרה, עם או בלי שינויים.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נקשה לביטול</w:t>
                        </w:r>
                      </w:p>
                      <w:p w:rsidR="00D532FC" w:rsidRP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חפיפה</w:t>
                        </w:r>
                      </w:p>
                    </w:tc>
                    <w:tc>
                      <w:tcPr>
                        <w:tcW w:w="678" w:type="pct"/>
                      </w:tcPr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532FC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27ד. (א) חפצי רוכל שנתפסו יישמרו בידי רשות הרישוי, על חשבון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הרוכל, עד אשר יקבע בית המשפט מה ייעשה בהם; לרשות הרישוי זכות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עכבון בחפצים כערובה לתשלום הוצאות התפיסה והשמירה, כשהיא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להן על פי קביעתו של בית המשפט.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הורשע הרוכל בעבירה שבשלה נתפסו החפצים, רשאי בית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בנוסף לכל עונש אחר שיטיל, לצוות על חילוט החפצים, כולם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חלקם? זוכה הרוכל בפסק דין שאין עליו עוד ערעור או בוטל כתב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האישום, יוחזרו לו החפצים.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)ג( נתפסו חפצים פסידים של רוכל, רשאית רשות הרישוי או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שהיא הסמיכה לכך למכרם במכירה פומבית או במחיר המקובל ביום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המכירה? דמי המכר, בניכוי ה וצאות התפיסה, השמירה והמכירה, יבואו,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ענין, במקום החפצים."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חפצי רוכל</w:t>
                        </w:r>
                      </w:p>
                      <w:p w:rsidR="00D532FC" w:rsidRP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שנתפסו</w:t>
                        </w:r>
                      </w:p>
                    </w:tc>
                    <w:tc>
                      <w:tcPr>
                        <w:tcW w:w="678" w:type="pct"/>
                      </w:tcPr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532FC" w:rsidRPr="00D532FC">
                    <w:trPr>
                      <w:jc w:val="right"/>
                    </w:trPr>
                    <w:tc>
                      <w:tcPr>
                        <w:tcW w:w="4322" w:type="pct"/>
                        <w:gridSpan w:val="2"/>
                      </w:tcPr>
                      <w:p w:rsidR="00D532FC" w:rsidRP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סעיפים 245 ו-249 (21) לפקודת העיריות - בטלים.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D532FC" w:rsidRP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D532FC" w:rsidRPr="00D532FC">
                    <w:trPr>
                      <w:jc w:val="right"/>
                    </w:trPr>
                    <w:tc>
                      <w:tcPr>
                        <w:tcW w:w="4322" w:type="pct"/>
                        <w:gridSpan w:val="2"/>
                      </w:tcPr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.חוקי עזר שהותקנו מכוח הסמכויות לפי סעיפים 245 או 249 (21) לפקודת והעיריות</w:t>
                        </w:r>
                      </w:p>
                      <w:p w:rsid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והיו בתוקף ערב תחילתו של חוק זה יעמדו בתקפם עד שיוחלפו בחוקי עזר על פי החוק</w:t>
                        </w:r>
                      </w:p>
                      <w:p w:rsidR="00D532FC" w:rsidRP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ובמידה שאין סתירה ביניהם לבין החוק העיקרי.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D532FC" w:rsidRPr="00D532FC" w:rsidRDefault="00D53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וראת מעבר</w:t>
                        </w:r>
                      </w:p>
                    </w:tc>
                  </w:tr>
                </w:tbl>
                <w:p w:rsidR="00D532FC" w:rsidRDefault="00D532F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874F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BB8A1D-FB3F-410C-92E7-776D2E7B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74F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95CE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532F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2008-04-06T23:31:00Z</dcterms:created>
  <dcterms:modified xsi:type="dcterms:W3CDTF">2008-04-06T23:32:00Z</dcterms:modified>
</cp:coreProperties>
</file>